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0DF173" w14:textId="3EA59C37" w:rsidR="00326295" w:rsidRDefault="00B24F0E">
      <w:r>
        <w:rPr>
          <w:noProof/>
        </w:rPr>
        <w:drawing>
          <wp:inline distT="0" distB="0" distL="0" distR="0" wp14:anchorId="7266B1AF" wp14:editId="4C39C79E">
            <wp:extent cx="5200650" cy="3566795"/>
            <wp:effectExtent l="0" t="0" r="0" b="14605"/>
            <wp:docPr id="57397766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6A28BCEE-539E-945B-D6FF-ED4A4A53FB9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0C41F9D5" w14:textId="3B9E69D0" w:rsidR="009A4300" w:rsidRDefault="00702BE1" w:rsidP="009A4300">
      <w:pPr>
        <w:jc w:val="center"/>
        <w:rPr>
          <w:rFonts w:asciiTheme="majorBidi" w:hAnsiTheme="majorBidi" w:cstheme="majorBidi"/>
        </w:rPr>
      </w:pPr>
      <w:r w:rsidRPr="00702BE1">
        <w:rPr>
          <w:rFonts w:asciiTheme="majorBidi" w:hAnsiTheme="majorBidi" w:cstheme="majorBidi"/>
        </w:rPr>
        <w:t xml:space="preserve">Figure 1: </w:t>
      </w:r>
      <w:r w:rsidR="009A4300" w:rsidRPr="009A4300">
        <w:rPr>
          <w:rFonts w:asciiTheme="majorBidi" w:hAnsiTheme="majorBidi" w:cstheme="majorBidi"/>
        </w:rPr>
        <w:t xml:space="preserve">Effects </w:t>
      </w:r>
      <w:r w:rsidR="00116D93">
        <w:rPr>
          <w:rFonts w:asciiTheme="majorBidi" w:hAnsiTheme="majorBidi" w:cstheme="majorBidi"/>
        </w:rPr>
        <w:t xml:space="preserve">of </w:t>
      </w:r>
      <w:r w:rsidR="00116D93" w:rsidRPr="00116D93">
        <w:rPr>
          <w:rFonts w:asciiTheme="majorBidi" w:hAnsiTheme="majorBidi" w:cstheme="majorBidi"/>
        </w:rPr>
        <w:t xml:space="preserve">wheat </w:t>
      </w:r>
      <w:r w:rsidR="009A4300">
        <w:rPr>
          <w:rFonts w:asciiTheme="majorBidi" w:hAnsiTheme="majorBidi" w:cstheme="majorBidi"/>
        </w:rPr>
        <w:t>genotypes</w:t>
      </w:r>
      <w:r w:rsidR="009A4300" w:rsidRPr="009A4300">
        <w:rPr>
          <w:rFonts w:asciiTheme="majorBidi" w:hAnsiTheme="majorBidi" w:cstheme="majorBidi"/>
        </w:rPr>
        <w:t xml:space="preserve"> on</w:t>
      </w:r>
      <w:r w:rsidR="009A4300">
        <w:rPr>
          <w:rFonts w:asciiTheme="majorBidi" w:hAnsiTheme="majorBidi" w:cstheme="majorBidi"/>
        </w:rPr>
        <w:t xml:space="preserve"> d</w:t>
      </w:r>
      <w:r w:rsidR="009A4300" w:rsidRPr="009A4300">
        <w:rPr>
          <w:rFonts w:asciiTheme="majorBidi" w:hAnsiTheme="majorBidi" w:cstheme="majorBidi"/>
        </w:rPr>
        <w:t>ays to heading and days to maturity</w:t>
      </w:r>
      <w:r w:rsidR="009A4300">
        <w:rPr>
          <w:rFonts w:asciiTheme="majorBidi" w:hAnsiTheme="majorBidi" w:cstheme="majorBidi"/>
        </w:rPr>
        <w:t>.</w:t>
      </w:r>
      <w:r w:rsidR="009A4300" w:rsidRPr="009A4300">
        <w:rPr>
          <w:rFonts w:asciiTheme="majorBidi" w:hAnsiTheme="majorBidi" w:cstheme="majorBidi"/>
        </w:rPr>
        <w:t xml:space="preserve"> Means for each treatment followed</w:t>
      </w:r>
      <w:r w:rsidR="009A4300">
        <w:rPr>
          <w:rFonts w:asciiTheme="majorBidi" w:hAnsiTheme="majorBidi" w:cstheme="majorBidi"/>
        </w:rPr>
        <w:t xml:space="preserve"> </w:t>
      </w:r>
      <w:r w:rsidR="009A4300" w:rsidRPr="009A4300">
        <w:rPr>
          <w:rFonts w:asciiTheme="majorBidi" w:hAnsiTheme="majorBidi" w:cstheme="majorBidi"/>
        </w:rPr>
        <w:t>with the same letter are not significantly different at P-value 0.05 using LSD</w:t>
      </w:r>
      <w:r w:rsidR="004C6458">
        <w:rPr>
          <w:rFonts w:asciiTheme="majorBidi" w:hAnsiTheme="majorBidi" w:cstheme="majorBidi"/>
        </w:rPr>
        <w:t>.</w:t>
      </w:r>
    </w:p>
    <w:p w14:paraId="4BEC3410" w14:textId="77777777" w:rsidR="004C6458" w:rsidRDefault="004C6458" w:rsidP="009A4300">
      <w:pPr>
        <w:jc w:val="center"/>
        <w:rPr>
          <w:rFonts w:asciiTheme="majorBidi" w:hAnsiTheme="majorBidi" w:cstheme="majorBidi"/>
        </w:rPr>
      </w:pPr>
    </w:p>
    <w:p w14:paraId="298EFA1B" w14:textId="72590262" w:rsidR="00DC19D6" w:rsidRDefault="00DC19D6" w:rsidP="009A4300">
      <w:pPr>
        <w:jc w:val="center"/>
        <w:rPr>
          <w:rFonts w:asciiTheme="majorBidi" w:hAnsiTheme="majorBidi" w:cstheme="majorBidi"/>
        </w:rPr>
      </w:pPr>
      <w:r w:rsidRPr="009D6646">
        <w:rPr>
          <w:rFonts w:asciiTheme="majorBidi" w:hAnsiTheme="majorBidi" w:cstheme="majorBidi"/>
          <w:noProof/>
        </w:rPr>
        <w:drawing>
          <wp:inline distT="0" distB="0" distL="0" distR="0" wp14:anchorId="5BBD56EC" wp14:editId="20EC727C">
            <wp:extent cx="4572000" cy="3248025"/>
            <wp:effectExtent l="0" t="0" r="0" b="9525"/>
            <wp:docPr id="102300347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2253C48B-FE82-7A06-8C77-48A49AC7649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2826AC76" w14:textId="545BEF85" w:rsidR="00DC19D6" w:rsidRDefault="00DC19D6" w:rsidP="00DC19D6">
      <w:pPr>
        <w:rPr>
          <w:rFonts w:asciiTheme="majorBidi" w:hAnsiTheme="majorBidi" w:cstheme="majorBidi"/>
        </w:rPr>
      </w:pPr>
      <w:r w:rsidRPr="00DC19D6">
        <w:rPr>
          <w:rFonts w:asciiTheme="majorBidi" w:hAnsiTheme="majorBidi" w:cstheme="majorBidi"/>
        </w:rPr>
        <w:t xml:space="preserve">Figure </w:t>
      </w:r>
      <w:r w:rsidR="00FE66FF">
        <w:rPr>
          <w:rFonts w:asciiTheme="majorBidi" w:hAnsiTheme="majorBidi" w:cstheme="majorBidi"/>
        </w:rPr>
        <w:t>2</w:t>
      </w:r>
      <w:r w:rsidRPr="00DC19D6">
        <w:rPr>
          <w:rFonts w:asciiTheme="majorBidi" w:hAnsiTheme="majorBidi" w:cstheme="majorBidi"/>
        </w:rPr>
        <w:t xml:space="preserve">: Effects </w:t>
      </w:r>
      <w:r w:rsidR="00FE66FF">
        <w:rPr>
          <w:rFonts w:asciiTheme="majorBidi" w:hAnsiTheme="majorBidi" w:cstheme="majorBidi"/>
        </w:rPr>
        <w:t>the</w:t>
      </w:r>
      <w:r w:rsidRPr="00DC19D6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experimental locations</w:t>
      </w:r>
      <w:r w:rsidRPr="00DC19D6">
        <w:rPr>
          <w:rFonts w:asciiTheme="majorBidi" w:hAnsiTheme="majorBidi" w:cstheme="majorBidi"/>
        </w:rPr>
        <w:t xml:space="preserve"> on days to heading and days to maturity of wheat. Means for each treatment followed with the same letter are not significantly different at P-value 0.05 using LSD</w:t>
      </w:r>
    </w:p>
    <w:p w14:paraId="438E4A0D" w14:textId="0FE8CB6F" w:rsidR="004C6458" w:rsidRDefault="004C6458" w:rsidP="004C6458">
      <w:pPr>
        <w:rPr>
          <w:rFonts w:asciiTheme="majorBidi" w:hAnsiTheme="majorBidi" w:cstheme="majorBidi"/>
        </w:rPr>
      </w:pPr>
      <w:r w:rsidRPr="004C6458">
        <w:rPr>
          <w:noProof/>
        </w:rPr>
        <w:lastRenderedPageBreak/>
        <w:drawing>
          <wp:inline distT="0" distB="0" distL="0" distR="0" wp14:anchorId="70D10836" wp14:editId="3A35884E">
            <wp:extent cx="5829300" cy="3023870"/>
            <wp:effectExtent l="0" t="0" r="0" b="5080"/>
            <wp:docPr id="471130375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ECA303D3-B7F4-68E9-F16E-AC927667996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3BC43883" w14:textId="3EFA87FC" w:rsidR="00FE66FF" w:rsidRDefault="008F3E18" w:rsidP="004C6458">
      <w:pPr>
        <w:jc w:val="center"/>
        <w:rPr>
          <w:rFonts w:asciiTheme="majorBidi" w:hAnsiTheme="majorBidi" w:cstheme="majorBidi"/>
        </w:rPr>
      </w:pPr>
      <w:r w:rsidRPr="008F3E18">
        <w:rPr>
          <w:rFonts w:asciiTheme="majorBidi" w:hAnsiTheme="majorBidi" w:cstheme="majorBidi"/>
        </w:rPr>
        <w:t xml:space="preserve">Figure 3: </w:t>
      </w:r>
      <w:bookmarkStart w:id="0" w:name="_Hlk166315643"/>
      <w:r w:rsidRPr="008F3E18">
        <w:rPr>
          <w:rFonts w:asciiTheme="majorBidi" w:hAnsiTheme="majorBidi" w:cstheme="majorBidi"/>
        </w:rPr>
        <w:t xml:space="preserve">Effects of </w:t>
      </w:r>
      <w:r w:rsidR="005232F7">
        <w:rPr>
          <w:rFonts w:asciiTheme="majorBidi" w:hAnsiTheme="majorBidi" w:cstheme="majorBidi"/>
        </w:rPr>
        <w:t>wheat genotypes</w:t>
      </w:r>
      <w:r w:rsidRPr="008F3E18">
        <w:rPr>
          <w:rFonts w:asciiTheme="majorBidi" w:hAnsiTheme="majorBidi" w:cstheme="majorBidi"/>
        </w:rPr>
        <w:t xml:space="preserve"> on plant height</w:t>
      </w:r>
      <w:bookmarkEnd w:id="0"/>
      <w:r w:rsidR="005232F7">
        <w:rPr>
          <w:rFonts w:asciiTheme="majorBidi" w:hAnsiTheme="majorBidi" w:cstheme="majorBidi"/>
        </w:rPr>
        <w:t xml:space="preserve"> trait</w:t>
      </w:r>
      <w:r w:rsidRPr="008F3E18">
        <w:rPr>
          <w:rFonts w:asciiTheme="majorBidi" w:hAnsiTheme="majorBidi" w:cstheme="majorBidi"/>
        </w:rPr>
        <w:t>. The means for each treatment followed by the same letter are not significantly different at a P value of 0.05 using LSD.</w:t>
      </w:r>
    </w:p>
    <w:p w14:paraId="311E0E03" w14:textId="77777777" w:rsidR="008F3E18" w:rsidRDefault="008F3E18" w:rsidP="004C6458">
      <w:pPr>
        <w:jc w:val="center"/>
        <w:rPr>
          <w:rFonts w:asciiTheme="majorBidi" w:hAnsiTheme="majorBidi" w:cstheme="majorBidi"/>
        </w:rPr>
      </w:pPr>
    </w:p>
    <w:p w14:paraId="5BBC0750" w14:textId="77777777" w:rsidR="00FE66FF" w:rsidRDefault="00FE66FF" w:rsidP="00FE66FF">
      <w:pPr>
        <w:rPr>
          <w:rFonts w:asciiTheme="majorBidi" w:hAnsiTheme="majorBidi" w:cstheme="majorBidi"/>
        </w:rPr>
      </w:pPr>
    </w:p>
    <w:p w14:paraId="61B02F1E" w14:textId="3D0603E8" w:rsidR="004C6458" w:rsidRDefault="002A63DB" w:rsidP="004C6458">
      <w:pPr>
        <w:rPr>
          <w:rFonts w:asciiTheme="majorBidi" w:hAnsiTheme="majorBidi" w:cstheme="majorBidi"/>
        </w:rPr>
      </w:pPr>
      <w:r>
        <w:rPr>
          <w:noProof/>
        </w:rPr>
        <w:drawing>
          <wp:inline distT="0" distB="0" distL="0" distR="0" wp14:anchorId="2AD0BF89" wp14:editId="2463B791">
            <wp:extent cx="4572000" cy="2743200"/>
            <wp:effectExtent l="0" t="0" r="0" b="0"/>
            <wp:docPr id="44231489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89F4F91-7FEA-D063-DED9-0581D0FCCAF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16CB858C" w14:textId="32C892BF" w:rsidR="002A63DB" w:rsidRDefault="002A63DB" w:rsidP="002A63DB">
      <w:pPr>
        <w:jc w:val="center"/>
        <w:rPr>
          <w:rFonts w:asciiTheme="majorBidi" w:hAnsiTheme="majorBidi" w:cstheme="majorBidi"/>
        </w:rPr>
      </w:pPr>
      <w:r w:rsidRPr="008F3E18">
        <w:rPr>
          <w:rFonts w:asciiTheme="majorBidi" w:hAnsiTheme="majorBidi" w:cstheme="majorBidi"/>
        </w:rPr>
        <w:t xml:space="preserve">Figure </w:t>
      </w:r>
      <w:r>
        <w:rPr>
          <w:rFonts w:asciiTheme="majorBidi" w:hAnsiTheme="majorBidi" w:cstheme="majorBidi"/>
        </w:rPr>
        <w:t>4</w:t>
      </w:r>
      <w:r w:rsidRPr="008F3E18">
        <w:rPr>
          <w:rFonts w:asciiTheme="majorBidi" w:hAnsiTheme="majorBidi" w:cstheme="majorBidi"/>
        </w:rPr>
        <w:t xml:space="preserve">: Effects of </w:t>
      </w:r>
      <w:r>
        <w:rPr>
          <w:rFonts w:asciiTheme="majorBidi" w:hAnsiTheme="majorBidi" w:cstheme="majorBidi"/>
        </w:rPr>
        <w:t>experimental locations</w:t>
      </w:r>
      <w:r w:rsidRPr="008F3E18">
        <w:rPr>
          <w:rFonts w:asciiTheme="majorBidi" w:hAnsiTheme="majorBidi" w:cstheme="majorBidi"/>
        </w:rPr>
        <w:t xml:space="preserve"> on plant height. The means for each treatment followed by the same letter are not significantly different at a P value of 0.05 using LSD.</w:t>
      </w:r>
    </w:p>
    <w:p w14:paraId="60862F25" w14:textId="77777777" w:rsidR="002A63DB" w:rsidRDefault="002A63DB" w:rsidP="004C6458">
      <w:pPr>
        <w:rPr>
          <w:rFonts w:asciiTheme="majorBidi" w:hAnsiTheme="majorBidi" w:cstheme="majorBidi"/>
        </w:rPr>
      </w:pPr>
    </w:p>
    <w:p w14:paraId="2D85932B" w14:textId="77777777" w:rsidR="00AA22E9" w:rsidRDefault="00AA22E9" w:rsidP="004C6458">
      <w:pPr>
        <w:rPr>
          <w:rFonts w:asciiTheme="majorBidi" w:hAnsiTheme="majorBidi" w:cstheme="majorBidi"/>
        </w:rPr>
      </w:pPr>
    </w:p>
    <w:p w14:paraId="5240945E" w14:textId="77777777" w:rsidR="00AA22E9" w:rsidRDefault="00AA22E9" w:rsidP="004C6458">
      <w:pPr>
        <w:rPr>
          <w:rFonts w:asciiTheme="majorBidi" w:hAnsiTheme="majorBidi" w:cstheme="majorBidi"/>
        </w:rPr>
      </w:pPr>
    </w:p>
    <w:p w14:paraId="4978C5BD" w14:textId="77777777" w:rsidR="009D6646" w:rsidRDefault="009D6646" w:rsidP="009D6646">
      <w:pPr>
        <w:jc w:val="center"/>
        <w:rPr>
          <w:rFonts w:asciiTheme="majorBidi" w:hAnsiTheme="majorBidi" w:cstheme="majorBidi"/>
        </w:rPr>
      </w:pPr>
    </w:p>
    <w:p w14:paraId="76AA33B9" w14:textId="77777777" w:rsidR="00AA22E9" w:rsidRDefault="00AA22E9" w:rsidP="00CA40F6">
      <w:pPr>
        <w:tabs>
          <w:tab w:val="left" w:pos="543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FDD9849" wp14:editId="1327E870">
            <wp:extent cx="3228975" cy="3076575"/>
            <wp:effectExtent l="19050" t="0" r="9525" b="0"/>
            <wp:docPr id="1" name="Picture 0" descr="WhMix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Mix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29426" cy="307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B62965" w14:textId="3301D9B1" w:rsidR="00B2706F" w:rsidRPr="003E3379" w:rsidRDefault="00B2706F" w:rsidP="00CA40F6">
      <w:pPr>
        <w:tabs>
          <w:tab w:val="left" w:pos="5430"/>
        </w:tabs>
        <w:rPr>
          <w:rFonts w:ascii="Times New Roman" w:hAnsi="Times New Roman" w:cs="Times New Roman"/>
          <w:sz w:val="24"/>
          <w:szCs w:val="24"/>
        </w:rPr>
      </w:pPr>
      <w:r w:rsidRPr="003E3379">
        <w:rPr>
          <w:rFonts w:ascii="Times New Roman" w:hAnsi="Times New Roman" w:cs="Times New Roman"/>
          <w:sz w:val="24"/>
          <w:szCs w:val="24"/>
        </w:rPr>
        <w:t xml:space="preserve">Figure </w:t>
      </w:r>
      <w:r w:rsidR="00F60CEB">
        <w:rPr>
          <w:rFonts w:ascii="Times New Roman" w:hAnsi="Times New Roman" w:cs="Times New Roman"/>
          <w:sz w:val="24"/>
          <w:szCs w:val="24"/>
        </w:rPr>
        <w:t>5</w:t>
      </w:r>
      <w:r w:rsidRPr="003E3379">
        <w:rPr>
          <w:rFonts w:ascii="Times New Roman" w:hAnsi="Times New Roman" w:cs="Times New Roman"/>
          <w:sz w:val="24"/>
          <w:szCs w:val="24"/>
        </w:rPr>
        <w:t xml:space="preserve">: Grain yield </w:t>
      </w:r>
      <w:r w:rsidR="003E3379">
        <w:rPr>
          <w:rFonts w:ascii="Times New Roman" w:hAnsi="Times New Roman" w:cs="Times New Roman"/>
          <w:sz w:val="24"/>
          <w:szCs w:val="24"/>
        </w:rPr>
        <w:t>environment-centered</w:t>
      </w:r>
      <w:r w:rsidRPr="003E3379">
        <w:rPr>
          <w:rFonts w:ascii="Times New Roman" w:hAnsi="Times New Roman" w:cs="Times New Roman"/>
          <w:sz w:val="24"/>
          <w:szCs w:val="24"/>
        </w:rPr>
        <w:t xml:space="preserve"> G</w:t>
      </w:r>
      <w:r w:rsidR="0007692B" w:rsidRPr="003E3379">
        <w:rPr>
          <w:rFonts w:ascii="Times New Roman" w:hAnsi="Times New Roman" w:cs="Times New Roman"/>
          <w:sz w:val="24"/>
          <w:szCs w:val="24"/>
        </w:rPr>
        <w:t>GE</w:t>
      </w:r>
      <w:r w:rsidR="0007692B">
        <w:rPr>
          <w:rFonts w:ascii="Times New Roman" w:hAnsi="Times New Roman" w:cs="Times New Roman"/>
          <w:sz w:val="24"/>
          <w:szCs w:val="24"/>
        </w:rPr>
        <w:t xml:space="preserve"> </w:t>
      </w:r>
      <w:r w:rsidRPr="003E3379">
        <w:rPr>
          <w:rFonts w:ascii="Times New Roman" w:hAnsi="Times New Roman" w:cs="Times New Roman"/>
          <w:sz w:val="24"/>
          <w:szCs w:val="24"/>
        </w:rPr>
        <w:t>biplot in the three locations</w:t>
      </w:r>
    </w:p>
    <w:p w14:paraId="7A8F37D8" w14:textId="77777777" w:rsidR="00AA22E9" w:rsidRDefault="00AA22E9" w:rsidP="00AA22E9">
      <w:pPr>
        <w:tabs>
          <w:tab w:val="left" w:pos="543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37469A5A" w14:textId="77777777" w:rsidR="00AA22E9" w:rsidRPr="000102FE" w:rsidRDefault="00AA22E9" w:rsidP="00CA40F6">
      <w:pPr>
        <w:tabs>
          <w:tab w:val="left" w:pos="543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D0CC1D6" wp14:editId="6D7534F0">
            <wp:extent cx="3228975" cy="3238500"/>
            <wp:effectExtent l="19050" t="0" r="9525" b="0"/>
            <wp:docPr id="2" name="Picture 1" descr="WhMix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Mix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29426" cy="3238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090BA" w14:textId="2123196F" w:rsidR="00B2706F" w:rsidRPr="00CA40F6" w:rsidRDefault="00B2706F" w:rsidP="00B2706F">
      <w:pPr>
        <w:tabs>
          <w:tab w:val="left" w:pos="543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A40F6">
        <w:rPr>
          <w:rFonts w:ascii="Times New Roman" w:hAnsi="Times New Roman" w:cs="Times New Roman"/>
          <w:sz w:val="24"/>
          <w:szCs w:val="24"/>
        </w:rPr>
        <w:t xml:space="preserve">Figure </w:t>
      </w:r>
      <w:r w:rsidR="00F60CEB" w:rsidRPr="00CA40F6">
        <w:rPr>
          <w:rFonts w:ascii="Times New Roman" w:hAnsi="Times New Roman" w:cs="Times New Roman"/>
          <w:sz w:val="24"/>
          <w:szCs w:val="24"/>
        </w:rPr>
        <w:t>6</w:t>
      </w:r>
      <w:r w:rsidRPr="00CA40F6">
        <w:rPr>
          <w:rFonts w:ascii="Times New Roman" w:hAnsi="Times New Roman" w:cs="Times New Roman"/>
          <w:sz w:val="24"/>
          <w:szCs w:val="24"/>
        </w:rPr>
        <w:t>: Mean performance and stability of genotype for grain yield in the three locations</w:t>
      </w:r>
    </w:p>
    <w:p w14:paraId="2A9C34D4" w14:textId="77777777" w:rsidR="00AA22E9" w:rsidRDefault="00AA22E9" w:rsidP="00AA22E9">
      <w:pPr>
        <w:spacing w:after="0" w:line="480" w:lineRule="auto"/>
        <w:jc w:val="both"/>
        <w:rPr>
          <w:b/>
          <w:i/>
          <w:noProof/>
        </w:rPr>
      </w:pPr>
    </w:p>
    <w:p w14:paraId="2CF6DC33" w14:textId="77777777" w:rsidR="00AA22E9" w:rsidRDefault="00AA22E9" w:rsidP="00CA40F6">
      <w:pPr>
        <w:tabs>
          <w:tab w:val="left" w:pos="543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47CC151" wp14:editId="01110A16">
            <wp:extent cx="3228975" cy="2981325"/>
            <wp:effectExtent l="19050" t="0" r="9525" b="0"/>
            <wp:docPr id="4" name="Picture 3" descr="WhMix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Mix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29426" cy="2981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6A48F4" w14:textId="66AB52AA" w:rsidR="00AA22E9" w:rsidRPr="003E3379" w:rsidRDefault="00B2706F" w:rsidP="00AA22E9">
      <w:pPr>
        <w:tabs>
          <w:tab w:val="left" w:pos="5430"/>
        </w:tabs>
        <w:jc w:val="both"/>
        <w:rPr>
          <w:rFonts w:ascii="Times New Roman" w:hAnsi="Times New Roman" w:cs="Times New Roman"/>
          <w:iCs/>
          <w:sz w:val="24"/>
          <w:szCs w:val="24"/>
        </w:rPr>
      </w:pPr>
      <w:bookmarkStart w:id="1" w:name="_Hlk162266902"/>
      <w:r w:rsidRPr="003E3379">
        <w:rPr>
          <w:rFonts w:ascii="Times New Roman" w:hAnsi="Times New Roman" w:cs="Times New Roman"/>
          <w:iCs/>
          <w:sz w:val="24"/>
          <w:szCs w:val="24"/>
        </w:rPr>
        <w:t xml:space="preserve">Figure </w:t>
      </w:r>
      <w:r w:rsidR="00F60CEB">
        <w:rPr>
          <w:rFonts w:ascii="Times New Roman" w:hAnsi="Times New Roman" w:cs="Times New Roman"/>
          <w:iCs/>
          <w:sz w:val="24"/>
          <w:szCs w:val="24"/>
        </w:rPr>
        <w:t>7</w:t>
      </w:r>
      <w:r w:rsidRPr="003E3379">
        <w:rPr>
          <w:rFonts w:ascii="Times New Roman" w:hAnsi="Times New Roman" w:cs="Times New Roman"/>
          <w:iCs/>
          <w:sz w:val="24"/>
          <w:szCs w:val="24"/>
        </w:rPr>
        <w:t>: Which-Won-</w:t>
      </w:r>
      <w:proofErr w:type="gramStart"/>
      <w:r w:rsidRPr="003E3379">
        <w:rPr>
          <w:rFonts w:ascii="Times New Roman" w:hAnsi="Times New Roman" w:cs="Times New Roman"/>
          <w:iCs/>
          <w:sz w:val="24"/>
          <w:szCs w:val="24"/>
        </w:rPr>
        <w:t>Where</w:t>
      </w:r>
      <w:proofErr w:type="gramEnd"/>
      <w:r w:rsidRPr="003E3379">
        <w:rPr>
          <w:rFonts w:ascii="Times New Roman" w:hAnsi="Times New Roman" w:cs="Times New Roman"/>
          <w:iCs/>
          <w:sz w:val="24"/>
          <w:szCs w:val="24"/>
        </w:rPr>
        <w:t xml:space="preserve"> Pattern in Multi-Environments</w:t>
      </w:r>
    </w:p>
    <w:bookmarkEnd w:id="1"/>
    <w:p w14:paraId="297D6380" w14:textId="77777777" w:rsidR="00AA22E9" w:rsidRDefault="00AA22E9" w:rsidP="00AA22E9">
      <w:pPr>
        <w:tabs>
          <w:tab w:val="left" w:pos="5430"/>
        </w:tabs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A5EFB71" w14:textId="77777777" w:rsidR="00AA22E9" w:rsidRDefault="00AA22E9" w:rsidP="00AA22E9">
      <w:pPr>
        <w:tabs>
          <w:tab w:val="left" w:pos="5430"/>
        </w:tabs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B89C0DF" w14:textId="77777777" w:rsidR="00AA22E9" w:rsidRDefault="00AA22E9" w:rsidP="00AA22E9">
      <w:pPr>
        <w:tabs>
          <w:tab w:val="left" w:pos="543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05BC9050" wp14:editId="2DF907E2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305050" cy="3162300"/>
            <wp:effectExtent l="19050" t="0" r="0" b="0"/>
            <wp:wrapSquare wrapText="bothSides"/>
            <wp:docPr id="5" name="Picture 4" descr="WhMixMar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MixMaru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5B03EA1" wp14:editId="155F72A8">
            <wp:extent cx="2505075" cy="3314700"/>
            <wp:effectExtent l="19050" t="0" r="9525" b="0"/>
            <wp:docPr id="6" name="Picture 5" descr="WhMixMus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MixMush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8E5C1" w14:textId="77777777" w:rsidR="00AA22E9" w:rsidRDefault="00AA22E9" w:rsidP="00AA22E9">
      <w:pPr>
        <w:tabs>
          <w:tab w:val="left" w:pos="543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a) Maru</w:t>
      </w:r>
      <w:r>
        <w:rPr>
          <w:rFonts w:ascii="Times New Roman" w:hAnsi="Times New Roman" w:cs="Times New Roman"/>
          <w:sz w:val="24"/>
          <w:szCs w:val="24"/>
        </w:rPr>
        <w:tab/>
        <w:t xml:space="preserve">b) </w:t>
      </w:r>
      <w:proofErr w:type="spellStart"/>
      <w:r>
        <w:rPr>
          <w:rFonts w:ascii="Times New Roman" w:hAnsi="Times New Roman" w:cs="Times New Roman"/>
          <w:sz w:val="24"/>
          <w:szCs w:val="24"/>
        </w:rPr>
        <w:t>Mushager</w:t>
      </w:r>
      <w:proofErr w:type="spellEnd"/>
    </w:p>
    <w:p w14:paraId="40BB0647" w14:textId="732F318C" w:rsidR="00B2706F" w:rsidRDefault="00B2706F" w:rsidP="00AA22E9">
      <w:pPr>
        <w:tabs>
          <w:tab w:val="left" w:pos="543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2706F">
        <w:rPr>
          <w:rFonts w:ascii="Times New Roman" w:hAnsi="Times New Roman" w:cs="Times New Roman"/>
          <w:sz w:val="24"/>
          <w:szCs w:val="24"/>
        </w:rPr>
        <w:t xml:space="preserve">Figure </w:t>
      </w:r>
      <w:r w:rsidR="00F60CEB">
        <w:rPr>
          <w:rFonts w:ascii="Times New Roman" w:hAnsi="Times New Roman" w:cs="Times New Roman"/>
          <w:sz w:val="24"/>
          <w:szCs w:val="24"/>
        </w:rPr>
        <w:t>8</w:t>
      </w:r>
      <w:r w:rsidRPr="00B2706F">
        <w:rPr>
          <w:rFonts w:ascii="Times New Roman" w:hAnsi="Times New Roman" w:cs="Times New Roman"/>
          <w:sz w:val="24"/>
          <w:szCs w:val="24"/>
        </w:rPr>
        <w:t xml:space="preserve">: Mean performance and stability of genotype for grain yield in Maru and </w:t>
      </w:r>
      <w:proofErr w:type="spellStart"/>
      <w:r w:rsidR="003E3379">
        <w:rPr>
          <w:rFonts w:ascii="Times New Roman" w:hAnsi="Times New Roman" w:cs="Times New Roman"/>
          <w:sz w:val="24"/>
          <w:szCs w:val="24"/>
        </w:rPr>
        <w:t>Mushager</w:t>
      </w:r>
      <w:proofErr w:type="spellEnd"/>
    </w:p>
    <w:p w14:paraId="4D53909D" w14:textId="77777777" w:rsidR="00B2706F" w:rsidRDefault="00B2706F" w:rsidP="00AA22E9">
      <w:pPr>
        <w:tabs>
          <w:tab w:val="left" w:pos="543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A2EA569" w14:textId="53B28420" w:rsidR="00AA22E9" w:rsidRPr="002E0FF8" w:rsidRDefault="00AA22E9" w:rsidP="00CA40F6">
      <w:pPr>
        <w:tabs>
          <w:tab w:val="left" w:pos="543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9BE4FD5" wp14:editId="650945B7">
            <wp:extent cx="2933700" cy="3295650"/>
            <wp:effectExtent l="19050" t="0" r="0" b="0"/>
            <wp:docPr id="7" name="Picture 6" descr="WhMixra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Mixrab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4110" cy="329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A0DE2B" w14:textId="554BDD5C" w:rsidR="00B2706F" w:rsidRPr="003E3379" w:rsidRDefault="00B2706F" w:rsidP="00B2706F">
      <w:pPr>
        <w:tabs>
          <w:tab w:val="left" w:pos="543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E3379">
        <w:rPr>
          <w:rFonts w:ascii="Times New Roman" w:hAnsi="Times New Roman" w:cs="Times New Roman"/>
          <w:sz w:val="24"/>
          <w:szCs w:val="24"/>
        </w:rPr>
        <w:t xml:space="preserve">Figure </w:t>
      </w:r>
      <w:r w:rsidR="00F60CEB">
        <w:rPr>
          <w:rFonts w:ascii="Times New Roman" w:hAnsi="Times New Roman" w:cs="Times New Roman"/>
          <w:sz w:val="24"/>
          <w:szCs w:val="24"/>
        </w:rPr>
        <w:t>9</w:t>
      </w:r>
      <w:r w:rsidRPr="003E3379">
        <w:rPr>
          <w:rFonts w:ascii="Times New Roman" w:hAnsi="Times New Roman" w:cs="Times New Roman"/>
          <w:sz w:val="24"/>
          <w:szCs w:val="24"/>
        </w:rPr>
        <w:t>: Mean performance and stability of genotype for grain yield in Rabba</w:t>
      </w:r>
    </w:p>
    <w:p w14:paraId="1A8C9FDD" w14:textId="77777777" w:rsidR="00AA22E9" w:rsidRDefault="00AA22E9" w:rsidP="00AA22E9">
      <w:pPr>
        <w:tabs>
          <w:tab w:val="left" w:pos="5430"/>
        </w:tabs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38644D" w14:textId="77777777" w:rsidR="00AA22E9" w:rsidRPr="00702BE1" w:rsidRDefault="00AA22E9" w:rsidP="004C6458">
      <w:pPr>
        <w:rPr>
          <w:rFonts w:asciiTheme="majorBidi" w:hAnsiTheme="majorBidi" w:cstheme="majorBidi"/>
        </w:rPr>
      </w:pPr>
    </w:p>
    <w:sectPr w:rsidR="00AA22E9" w:rsidRPr="00702B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BB7"/>
    <w:rsid w:val="00037B1B"/>
    <w:rsid w:val="000453B4"/>
    <w:rsid w:val="0007692B"/>
    <w:rsid w:val="00116D93"/>
    <w:rsid w:val="002A63DB"/>
    <w:rsid w:val="00317D06"/>
    <w:rsid w:val="00326295"/>
    <w:rsid w:val="00335FAF"/>
    <w:rsid w:val="003E3379"/>
    <w:rsid w:val="0044489E"/>
    <w:rsid w:val="004C2CF2"/>
    <w:rsid w:val="004C6458"/>
    <w:rsid w:val="005232F7"/>
    <w:rsid w:val="006D3DE8"/>
    <w:rsid w:val="00702BE1"/>
    <w:rsid w:val="00711234"/>
    <w:rsid w:val="008D153B"/>
    <w:rsid w:val="008F3E18"/>
    <w:rsid w:val="009A4300"/>
    <w:rsid w:val="009D6646"/>
    <w:rsid w:val="00A751A9"/>
    <w:rsid w:val="00AA22E9"/>
    <w:rsid w:val="00B24F0E"/>
    <w:rsid w:val="00B2706F"/>
    <w:rsid w:val="00C13963"/>
    <w:rsid w:val="00C722A0"/>
    <w:rsid w:val="00CA40F6"/>
    <w:rsid w:val="00DC19D6"/>
    <w:rsid w:val="00F42BB7"/>
    <w:rsid w:val="00F60CEB"/>
    <w:rsid w:val="00FD49C4"/>
    <w:rsid w:val="00FE6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8599FD"/>
  <w15:chartTrackingRefBased/>
  <w15:docId w15:val="{7ED5A496-63AF-4275-81BA-5B57AA6AA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image" Target="media/image4.png"/><Relationship Id="rId5" Type="http://schemas.openxmlformats.org/officeDocument/2006/relationships/chart" Target="charts/chart2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chart" Target="charts/chart1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2759674271485294"/>
          <c:y val="3.916681502581449E-2"/>
          <c:w val="0.84554123042312024"/>
          <c:h val="0.7509685866443123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Genotypes!$A$12</c:f>
              <c:strCache>
                <c:ptCount val="1"/>
                <c:pt idx="0">
                  <c:v>ACSAD65</c:v>
                </c:pt>
              </c:strCache>
            </c:strRef>
          </c:tx>
          <c:spPr>
            <a:pattFill prst="pct20">
              <a:fgClr>
                <a:schemeClr val="tx1">
                  <a:lumMod val="65000"/>
                  <a:lumOff val="35000"/>
                </a:schemeClr>
              </a:fgClr>
              <a:bgClr>
                <a:schemeClr val="bg1"/>
              </a:bgClr>
            </a:patt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c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B7E6-4882-9A21-1E65B8000063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c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B7E6-4882-9A21-1E65B800006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5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Genotypes!$B$11:$C$11</c:f>
              <c:strCache>
                <c:ptCount val="2"/>
                <c:pt idx="0">
                  <c:v>Days to Heading</c:v>
                </c:pt>
                <c:pt idx="1">
                  <c:v>Days to Maturity</c:v>
                </c:pt>
              </c:strCache>
            </c:strRef>
          </c:cat>
          <c:val>
            <c:numRef>
              <c:f>Genotypes!$B$12:$C$12</c:f>
              <c:numCache>
                <c:formatCode>General</c:formatCode>
                <c:ptCount val="2"/>
                <c:pt idx="0">
                  <c:v>97</c:v>
                </c:pt>
                <c:pt idx="1">
                  <c:v>132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7E6-4882-9A21-1E65B8000063}"/>
            </c:ext>
          </c:extLst>
        </c:ser>
        <c:ser>
          <c:idx val="1"/>
          <c:order val="1"/>
          <c:tx>
            <c:strRef>
              <c:f>Genotypes!$A$13</c:f>
              <c:strCache>
                <c:ptCount val="1"/>
                <c:pt idx="0">
                  <c:v>Ammoun</c:v>
                </c:pt>
              </c:strCache>
            </c:strRef>
          </c:tx>
          <c:spPr>
            <a:pattFill prst="pct75">
              <a:fgClr>
                <a:schemeClr val="tx1"/>
              </a:fgClr>
              <a:bgClr>
                <a:schemeClr val="bg1"/>
              </a:bgClr>
            </a:patt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d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B7E6-4882-9A21-1E65B8000063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d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B7E6-4882-9A21-1E65B800006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5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Genotypes!$B$11:$C$11</c:f>
              <c:strCache>
                <c:ptCount val="2"/>
                <c:pt idx="0">
                  <c:v>Days to Heading</c:v>
                </c:pt>
                <c:pt idx="1">
                  <c:v>Days to Maturity</c:v>
                </c:pt>
              </c:strCache>
            </c:strRef>
          </c:cat>
          <c:val>
            <c:numRef>
              <c:f>Genotypes!$B$13:$C$13</c:f>
              <c:numCache>
                <c:formatCode>General</c:formatCode>
                <c:ptCount val="2"/>
                <c:pt idx="0">
                  <c:v>95</c:v>
                </c:pt>
                <c:pt idx="1">
                  <c:v>130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B7E6-4882-9A21-1E65B8000063}"/>
            </c:ext>
          </c:extLst>
        </c:ser>
        <c:ser>
          <c:idx val="2"/>
          <c:order val="2"/>
          <c:tx>
            <c:strRef>
              <c:f>Genotypes!$A$14</c:f>
              <c:strCache>
                <c:ptCount val="1"/>
                <c:pt idx="0">
                  <c:v>Cham1</c:v>
                </c:pt>
              </c:strCache>
            </c:strRef>
          </c:tx>
          <c:spPr>
            <a:pattFill prst="dkUpDiag">
              <a:fgClr>
                <a:schemeClr val="tx1"/>
              </a:fgClr>
              <a:bgClr>
                <a:schemeClr val="bg1"/>
              </a:bgClr>
            </a:patt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b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B7E6-4882-9A21-1E65B8000063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c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B7E6-4882-9A21-1E65B800006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5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Genotypes!$B$11:$C$11</c:f>
              <c:strCache>
                <c:ptCount val="2"/>
                <c:pt idx="0">
                  <c:v>Days to Heading</c:v>
                </c:pt>
                <c:pt idx="1">
                  <c:v>Days to Maturity</c:v>
                </c:pt>
              </c:strCache>
            </c:strRef>
          </c:cat>
          <c:val>
            <c:numRef>
              <c:f>Genotypes!$B$14:$C$14</c:f>
              <c:numCache>
                <c:formatCode>General</c:formatCode>
                <c:ptCount val="2"/>
                <c:pt idx="0">
                  <c:v>99</c:v>
                </c:pt>
                <c:pt idx="1">
                  <c:v>132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B7E6-4882-9A21-1E65B8000063}"/>
            </c:ext>
          </c:extLst>
        </c:ser>
        <c:ser>
          <c:idx val="3"/>
          <c:order val="3"/>
          <c:tx>
            <c:strRef>
              <c:f>Genotypes!$A$15</c:f>
              <c:strCache>
                <c:ptCount val="1"/>
                <c:pt idx="0">
                  <c:v>Dair Alla6</c:v>
                </c:pt>
              </c:strCache>
            </c:strRef>
          </c:tx>
          <c:spPr>
            <a:pattFill prst="smConfetti">
              <a:fgClr>
                <a:schemeClr val="tx1"/>
              </a:fgClr>
              <a:bgClr>
                <a:schemeClr val="bg1"/>
              </a:bgClr>
            </a:pattFill>
            <a:ln>
              <a:noFill/>
            </a:ln>
            <a:effectLst/>
          </c:spPr>
          <c:invertIfNegative val="0"/>
          <c:dPt>
            <c:idx val="1"/>
            <c:invertIfNegative val="0"/>
            <c:bubble3D val="0"/>
            <c:spPr>
              <a:pattFill prst="dashHorz">
                <a:fgClr>
                  <a:schemeClr val="tx1"/>
                </a:fgClr>
                <a:bgClr>
                  <a:schemeClr val="bg1"/>
                </a:bgClr>
              </a:patt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A-B7E6-4882-9A21-1E65B8000063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a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B-B7E6-4882-9A21-1E65B8000063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ab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B7E6-4882-9A21-1E65B800006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5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Genotypes!$B$11:$C$11</c:f>
              <c:strCache>
                <c:ptCount val="2"/>
                <c:pt idx="0">
                  <c:v>Days to Heading</c:v>
                </c:pt>
                <c:pt idx="1">
                  <c:v>Days to Maturity</c:v>
                </c:pt>
              </c:strCache>
            </c:strRef>
          </c:cat>
          <c:val>
            <c:numRef>
              <c:f>Genotypes!$B$15:$C$15</c:f>
              <c:numCache>
                <c:formatCode>General</c:formatCode>
                <c:ptCount val="2"/>
                <c:pt idx="0">
                  <c:v>100</c:v>
                </c:pt>
                <c:pt idx="1">
                  <c:v>134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B7E6-4882-9A21-1E65B8000063}"/>
            </c:ext>
          </c:extLst>
        </c:ser>
        <c:ser>
          <c:idx val="4"/>
          <c:order val="4"/>
          <c:tx>
            <c:strRef>
              <c:f>Genotypes!$A$16</c:f>
              <c:strCache>
                <c:ptCount val="1"/>
                <c:pt idx="0">
                  <c:v>Hourani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a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D-B7E6-4882-9A21-1E65B8000063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a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E-B7E6-4882-9A21-1E65B800006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5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Genotypes!$B$11:$C$11</c:f>
              <c:strCache>
                <c:ptCount val="2"/>
                <c:pt idx="0">
                  <c:v>Days to Heading</c:v>
                </c:pt>
                <c:pt idx="1">
                  <c:v>Days to Maturity</c:v>
                </c:pt>
              </c:strCache>
            </c:strRef>
          </c:cat>
          <c:val>
            <c:numRef>
              <c:f>Genotypes!$B$16:$C$16</c:f>
              <c:numCache>
                <c:formatCode>General</c:formatCode>
                <c:ptCount val="2"/>
                <c:pt idx="0">
                  <c:v>100</c:v>
                </c:pt>
                <c:pt idx="1">
                  <c:v>135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B7E6-4882-9A21-1E65B8000063}"/>
            </c:ext>
          </c:extLst>
        </c:ser>
        <c:ser>
          <c:idx val="5"/>
          <c:order val="5"/>
          <c:tx>
            <c:strRef>
              <c:f>Genotypes!$A$17</c:f>
              <c:strCache>
                <c:ptCount val="1"/>
                <c:pt idx="0">
                  <c:v>Mixture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b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0-B7E6-4882-9A21-1E65B8000063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ab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1-B7E6-4882-9A21-1E65B800006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5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Genotypes!$B$11:$C$11</c:f>
              <c:strCache>
                <c:ptCount val="2"/>
                <c:pt idx="0">
                  <c:v>Days to Heading</c:v>
                </c:pt>
                <c:pt idx="1">
                  <c:v>Days to Maturity</c:v>
                </c:pt>
              </c:strCache>
            </c:strRef>
          </c:cat>
          <c:val>
            <c:numRef>
              <c:f>Genotypes!$B$17:$C$17</c:f>
              <c:numCache>
                <c:formatCode>General</c:formatCode>
                <c:ptCount val="2"/>
                <c:pt idx="0">
                  <c:v>99</c:v>
                </c:pt>
                <c:pt idx="1">
                  <c:v>134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2-B7E6-4882-9A21-1E65B8000063}"/>
            </c:ext>
          </c:extLst>
        </c:ser>
        <c:ser>
          <c:idx val="6"/>
          <c:order val="6"/>
          <c:tx>
            <c:strRef>
              <c:f>Genotypes!$A$18</c:f>
              <c:strCache>
                <c:ptCount val="1"/>
                <c:pt idx="0">
                  <c:v>Um Qais</c:v>
                </c:pt>
              </c:strCache>
            </c:strRef>
          </c:tx>
          <c:spPr>
            <a:pattFill prst="lgConfetti">
              <a:fgClr>
                <a:schemeClr val="tx1"/>
              </a:fgClr>
              <a:bgClr>
                <a:schemeClr val="bg1"/>
              </a:bgClr>
            </a:patt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b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3-B7E6-4882-9A21-1E65B8000063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ab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4-B7E6-4882-9A21-1E65B800006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5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Genotypes!$B$11:$C$11</c:f>
              <c:strCache>
                <c:ptCount val="2"/>
                <c:pt idx="0">
                  <c:v>Days to Heading</c:v>
                </c:pt>
                <c:pt idx="1">
                  <c:v>Days to Maturity</c:v>
                </c:pt>
              </c:strCache>
            </c:strRef>
          </c:cat>
          <c:val>
            <c:numRef>
              <c:f>Genotypes!$B$18:$C$18</c:f>
              <c:numCache>
                <c:formatCode>General</c:formatCode>
                <c:ptCount val="2"/>
                <c:pt idx="0">
                  <c:v>98</c:v>
                </c:pt>
                <c:pt idx="1">
                  <c:v>134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5-B7E6-4882-9A21-1E65B8000063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490039424"/>
        <c:axId val="490044104"/>
      </c:barChart>
      <c:catAx>
        <c:axId val="49003942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5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Genotypes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5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490044104"/>
        <c:crosses val="autoZero"/>
        <c:auto val="1"/>
        <c:lblAlgn val="ctr"/>
        <c:lblOffset val="100"/>
        <c:noMultiLvlLbl val="0"/>
      </c:catAx>
      <c:valAx>
        <c:axId val="4900441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5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Days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5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49003942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05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Locations!$A$8</c:f>
              <c:strCache>
                <c:ptCount val="1"/>
                <c:pt idx="0">
                  <c:v>Maru</c:v>
                </c:pt>
              </c:strCache>
            </c:strRef>
          </c:tx>
          <c:spPr>
            <a:pattFill prst="pct70">
              <a:fgClr>
                <a:sysClr val="windowText" lastClr="000000"/>
              </a:fgClr>
              <a:bgClr>
                <a:schemeClr val="bg1"/>
              </a:bgClr>
            </a:patt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5.5555555555556061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c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D435-48CF-B45B-21B0EA1C3583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c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D435-48CF-B45B-21B0EA1C358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5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Locations!$B$7:$C$7</c:f>
              <c:strCache>
                <c:ptCount val="2"/>
                <c:pt idx="0">
                  <c:v>Days to Heading</c:v>
                </c:pt>
                <c:pt idx="1">
                  <c:v>Days to Maturity</c:v>
                </c:pt>
              </c:strCache>
            </c:strRef>
          </c:cat>
          <c:val>
            <c:numRef>
              <c:f>Locations!$B$8:$C$8</c:f>
              <c:numCache>
                <c:formatCode>General</c:formatCode>
                <c:ptCount val="2"/>
                <c:pt idx="0">
                  <c:v>85</c:v>
                </c:pt>
                <c:pt idx="1">
                  <c:v>122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435-48CF-B45B-21B0EA1C3583}"/>
            </c:ext>
          </c:extLst>
        </c:ser>
        <c:ser>
          <c:idx val="1"/>
          <c:order val="1"/>
          <c:tx>
            <c:strRef>
              <c:f>Locations!$A$9</c:f>
              <c:strCache>
                <c:ptCount val="1"/>
                <c:pt idx="0">
                  <c:v>Mushager</c:v>
                </c:pt>
              </c:strCache>
            </c:strRef>
          </c:tx>
          <c:spPr>
            <a:pattFill prst="pct25">
              <a:fgClr>
                <a:sysClr val="windowText" lastClr="000000"/>
              </a:fgClr>
              <a:bgClr>
                <a:schemeClr val="bg1"/>
              </a:bgClr>
            </a:patt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a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D435-48CF-B45B-21B0EA1C3583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a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D435-48CF-B45B-21B0EA1C358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5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Locations!$B$7:$C$7</c:f>
              <c:strCache>
                <c:ptCount val="2"/>
                <c:pt idx="0">
                  <c:v>Days to Heading</c:v>
                </c:pt>
                <c:pt idx="1">
                  <c:v>Days to Maturity</c:v>
                </c:pt>
              </c:strCache>
            </c:strRef>
          </c:cat>
          <c:val>
            <c:numRef>
              <c:f>Locations!$B$9:$C$9</c:f>
              <c:numCache>
                <c:formatCode>General</c:formatCode>
                <c:ptCount val="2"/>
                <c:pt idx="0">
                  <c:v>112</c:v>
                </c:pt>
                <c:pt idx="1">
                  <c:v>144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D435-48CF-B45B-21B0EA1C3583}"/>
            </c:ext>
          </c:extLst>
        </c:ser>
        <c:ser>
          <c:idx val="2"/>
          <c:order val="2"/>
          <c:tx>
            <c:strRef>
              <c:f>Locations!$A$10</c:f>
              <c:strCache>
                <c:ptCount val="1"/>
                <c:pt idx="0">
                  <c:v>Rabba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b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D435-48CF-B45B-21B0EA1C3583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b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D435-48CF-B45B-21B0EA1C358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5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Locations!$B$7:$C$7</c:f>
              <c:strCache>
                <c:ptCount val="2"/>
                <c:pt idx="0">
                  <c:v>Days to Heading</c:v>
                </c:pt>
                <c:pt idx="1">
                  <c:v>Days to Maturity</c:v>
                </c:pt>
              </c:strCache>
            </c:strRef>
          </c:cat>
          <c:val>
            <c:numRef>
              <c:f>Locations!$B$10:$C$10</c:f>
              <c:numCache>
                <c:formatCode>General</c:formatCode>
                <c:ptCount val="2"/>
                <c:pt idx="0">
                  <c:v>98</c:v>
                </c:pt>
                <c:pt idx="1">
                  <c:v>133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D435-48CF-B45B-21B0EA1C3583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391210216"/>
        <c:axId val="391213816"/>
      </c:barChart>
      <c:catAx>
        <c:axId val="39121021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5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GB"/>
                  <a:t>Experimental locations </a:t>
                </a:r>
                <a:endParaRPr lang="en-US"/>
              </a:p>
            </c:rich>
          </c:tx>
          <c:layout>
            <c:manualLayout>
              <c:xMode val="edge"/>
              <c:yMode val="edge"/>
              <c:x val="0.39988757655293089"/>
              <c:y val="0.84925189827794889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5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391213816"/>
        <c:crosses val="autoZero"/>
        <c:auto val="1"/>
        <c:lblAlgn val="ctr"/>
        <c:lblOffset val="100"/>
        <c:noMultiLvlLbl val="0"/>
      </c:catAx>
      <c:valAx>
        <c:axId val="3912138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5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Days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5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391210216"/>
        <c:crosses val="autoZero"/>
        <c:crossBetween val="between"/>
        <c:majorUnit val="10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05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Sheet1!$B$33:$B$34</c:f>
              <c:strCache>
                <c:ptCount val="2"/>
                <c:pt idx="0">
                  <c:v>Plant Height</c:v>
                </c:pt>
                <c:pt idx="1">
                  <c:v>(cm)</c:v>
                </c:pt>
              </c:strCache>
            </c:strRef>
          </c:tx>
          <c:spPr>
            <a:solidFill>
              <a:schemeClr val="bg2">
                <a:lumMod val="25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c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BCAB-46D4-95C4-04AA3427AA87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cd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BCAB-46D4-95C4-04AA3427AA87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cd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BCAB-46D4-95C4-04AA3427AA87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d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BCAB-46D4-95C4-04AA3427AA87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a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BCAB-46D4-95C4-04AA3427AA87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b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BCAB-46D4-95C4-04AA3427AA87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b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BCAB-46D4-95C4-04AA3427AA8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5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Sheet1!$A$35:$A$41</c:f>
              <c:strCache>
                <c:ptCount val="7"/>
                <c:pt idx="0">
                  <c:v>ACSAD65</c:v>
                </c:pt>
                <c:pt idx="1">
                  <c:v>Ammoun</c:v>
                </c:pt>
                <c:pt idx="2">
                  <c:v>Cham1</c:v>
                </c:pt>
                <c:pt idx="3">
                  <c:v>Dair Alla6</c:v>
                </c:pt>
                <c:pt idx="4">
                  <c:v>Hourani</c:v>
                </c:pt>
                <c:pt idx="5">
                  <c:v>Mixture</c:v>
                </c:pt>
                <c:pt idx="6">
                  <c:v>Um Qais</c:v>
                </c:pt>
              </c:strCache>
            </c:strRef>
          </c:cat>
          <c:val>
            <c:numRef>
              <c:f>Sheet1!$B$35:$B$41</c:f>
              <c:numCache>
                <c:formatCode>General</c:formatCode>
                <c:ptCount val="7"/>
                <c:pt idx="0">
                  <c:v>71.14</c:v>
                </c:pt>
                <c:pt idx="1">
                  <c:v>67.89</c:v>
                </c:pt>
                <c:pt idx="2">
                  <c:v>70.459999999999994</c:v>
                </c:pt>
                <c:pt idx="3">
                  <c:v>67.459999999999994</c:v>
                </c:pt>
                <c:pt idx="4">
                  <c:v>81.95</c:v>
                </c:pt>
                <c:pt idx="5">
                  <c:v>76.959999999999994</c:v>
                </c:pt>
                <c:pt idx="6">
                  <c:v>77.94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BCAB-46D4-95C4-04AA3427AA87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402548144"/>
        <c:axId val="402553184"/>
      </c:barChart>
      <c:catAx>
        <c:axId val="40254814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5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Genotypes</a:t>
                </a:r>
              </a:p>
            </c:rich>
          </c:tx>
          <c:layout>
            <c:manualLayout>
              <c:xMode val="edge"/>
              <c:yMode val="edge"/>
              <c:x val="0.44323074811726965"/>
              <c:y val="0.9055018899622007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5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402553184"/>
        <c:crosses val="autoZero"/>
        <c:auto val="1"/>
        <c:lblAlgn val="ctr"/>
        <c:lblOffset val="100"/>
        <c:noMultiLvlLbl val="0"/>
      </c:catAx>
      <c:valAx>
        <c:axId val="4025531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5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Plant Height (cm)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5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402548144"/>
        <c:crosses val="autoZero"/>
        <c:crossBetween val="between"/>
        <c:majorUnit val="5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05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Locations!$B$21</c:f>
              <c:strCache>
                <c:ptCount val="1"/>
                <c:pt idx="0">
                  <c:v>Plant Height</c:v>
                </c:pt>
              </c:strCache>
            </c:strRef>
          </c:tx>
          <c:spPr>
            <a:solidFill>
              <a:schemeClr val="bg2">
                <a:lumMod val="50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a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54FE-43A6-9F42-5E85CC2A7343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b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54FE-43A6-9F42-5E85CC2A7343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b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54FE-43A6-9F42-5E85CC2A734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Locations!$A$22:$A$24</c:f>
              <c:strCache>
                <c:ptCount val="3"/>
                <c:pt idx="0">
                  <c:v>Maru</c:v>
                </c:pt>
                <c:pt idx="1">
                  <c:v>Mushager</c:v>
                </c:pt>
                <c:pt idx="2">
                  <c:v>Rabba</c:v>
                </c:pt>
              </c:strCache>
            </c:strRef>
          </c:cat>
          <c:val>
            <c:numRef>
              <c:f>Locations!$B$22:$B$24</c:f>
              <c:numCache>
                <c:formatCode>General</c:formatCode>
                <c:ptCount val="3"/>
                <c:pt idx="0">
                  <c:v>89.63</c:v>
                </c:pt>
                <c:pt idx="1">
                  <c:v>64.540000000000006</c:v>
                </c:pt>
                <c:pt idx="2">
                  <c:v>65.099999999999994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54FE-43A6-9F42-5E85CC2A7343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476045960"/>
        <c:axId val="476044160"/>
      </c:barChart>
      <c:catAx>
        <c:axId val="47604596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Experimental locations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476044160"/>
        <c:crosses val="autoZero"/>
        <c:auto val="1"/>
        <c:lblAlgn val="ctr"/>
        <c:lblOffset val="100"/>
        <c:noMultiLvlLbl val="0"/>
      </c:catAx>
      <c:valAx>
        <c:axId val="4760441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Plant Height (cm)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47604596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5</Pages>
  <Words>193</Words>
  <Characters>983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Abdelrazzaq Altawaha</dc:creator>
  <cp:keywords/>
  <dc:description/>
  <cp:lastModifiedBy>Abdelrazzaq Altawaha</cp:lastModifiedBy>
  <cp:revision>21</cp:revision>
  <dcterms:created xsi:type="dcterms:W3CDTF">2024-03-10T11:17:00Z</dcterms:created>
  <dcterms:modified xsi:type="dcterms:W3CDTF">2024-05-11T14:11:00Z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e82e8227a558475994d64e327e533adc1e10936c11dd4fa24006854fc8033d50</vt:lpwstr>
  </property>
</Properties>
</file>