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E0223" w14:textId="77777777" w:rsidR="00D268D3" w:rsidRPr="0095391C" w:rsidRDefault="00D268D3" w:rsidP="00AD64C9">
      <w:pPr>
        <w:pBdr>
          <w:top w:val="single" w:sz="4" w:space="1" w:color="auto"/>
          <w:left w:val="single" w:sz="4" w:space="4" w:color="auto"/>
          <w:bottom w:val="single" w:sz="4" w:space="1" w:color="auto"/>
          <w:right w:val="single" w:sz="4" w:space="4" w:color="auto"/>
        </w:pBdr>
        <w:shd w:val="clear" w:color="auto" w:fill="E36C0A"/>
        <w:tabs>
          <w:tab w:val="left" w:leader="dot" w:pos="8505"/>
        </w:tabs>
        <w:spacing w:before="0" w:line="240" w:lineRule="auto"/>
        <w:ind w:left="142" w:right="95"/>
        <w:jc w:val="center"/>
        <w:rPr>
          <w:rFonts w:cs="Arial"/>
          <w:b/>
          <w:bCs/>
          <w:sz w:val="28"/>
          <w:szCs w:val="36"/>
        </w:rPr>
      </w:pPr>
      <w:bookmarkStart w:id="0" w:name="OLE_LINK1"/>
      <w:bookmarkStart w:id="1" w:name="OLE_LINK2"/>
      <w:r w:rsidRPr="0095391C">
        <w:rPr>
          <w:rFonts w:cs="Arial"/>
          <w:b/>
          <w:bCs/>
          <w:sz w:val="28"/>
          <w:szCs w:val="36"/>
        </w:rPr>
        <w:t>COVER PAGE</w:t>
      </w:r>
    </w:p>
    <w:p w14:paraId="6444CFDB" w14:textId="77777777" w:rsidR="00AD5CFA" w:rsidRPr="0095391C" w:rsidRDefault="00AD5CFA" w:rsidP="00FA7473">
      <w:pPr>
        <w:pStyle w:val="ListParagraph"/>
        <w:ind w:left="284"/>
        <w:rPr>
          <w:rFonts w:ascii="Calibri" w:hAnsi="Calibri" w:cs="Arial"/>
          <w:b/>
          <w:sz w:val="22"/>
          <w:szCs w:val="22"/>
          <w:lang w:val="id-ID"/>
        </w:rPr>
      </w:pPr>
    </w:p>
    <w:p w14:paraId="3EE6E7EA" w14:textId="77777777" w:rsidR="00FA7473" w:rsidRPr="0095391C" w:rsidRDefault="00FA7473" w:rsidP="00FA7473">
      <w:pPr>
        <w:pStyle w:val="ListParagraph"/>
        <w:numPr>
          <w:ilvl w:val="0"/>
          <w:numId w:val="8"/>
        </w:numPr>
        <w:ind w:left="284" w:hanging="284"/>
        <w:rPr>
          <w:rFonts w:ascii="Calibri" w:hAnsi="Calibri" w:cs="Arial"/>
          <w:b/>
          <w:sz w:val="22"/>
        </w:rPr>
      </w:pPr>
      <w:r w:rsidRPr="0095391C">
        <w:rPr>
          <w:rFonts w:ascii="Calibri" w:hAnsi="Calibri" w:cs="Arial"/>
          <w:b/>
          <w:sz w:val="22"/>
        </w:rPr>
        <w:t>Manuscript Title</w:t>
      </w:r>
    </w:p>
    <w:p w14:paraId="7C1B1260" w14:textId="77777777" w:rsidR="00B44C51" w:rsidRPr="0095391C" w:rsidRDefault="00B44C51" w:rsidP="00B44C51">
      <w:pPr>
        <w:pStyle w:val="Heading1"/>
        <w:keepNext w:val="0"/>
        <w:widowControl w:val="0"/>
        <w:tabs>
          <w:tab w:val="clear" w:pos="993"/>
          <w:tab w:val="left" w:pos="7965"/>
        </w:tabs>
        <w:spacing w:after="0"/>
        <w:rPr>
          <w:rFonts w:asciiTheme="minorHAnsi" w:eastAsia="MS Mincho" w:hAnsiTheme="minorHAnsi" w:cstheme="minorHAnsi"/>
          <w:caps w:val="0"/>
          <w:szCs w:val="28"/>
          <w:lang w:eastAsia="ja-JP"/>
        </w:rPr>
      </w:pPr>
      <w:r w:rsidRPr="0095391C">
        <w:rPr>
          <w:rFonts w:asciiTheme="minorHAnsi" w:eastAsia="MS Mincho" w:hAnsiTheme="minorHAnsi" w:cstheme="minorHAnsi"/>
        </w:rPr>
        <w:t>glyphosate adsorption in INCEPTIsOLS Amended with rice husk Biochar</w:t>
      </w:r>
    </w:p>
    <w:p w14:paraId="4C530113" w14:textId="77777777" w:rsidR="00FA7473" w:rsidRPr="0095391C" w:rsidRDefault="00FA7473" w:rsidP="00FA7473">
      <w:pPr>
        <w:pStyle w:val="ListParagraph"/>
        <w:numPr>
          <w:ilvl w:val="0"/>
          <w:numId w:val="8"/>
        </w:numPr>
        <w:ind w:left="284" w:hanging="284"/>
        <w:rPr>
          <w:rFonts w:ascii="Calibri" w:hAnsi="Calibri" w:cs="Arial"/>
          <w:b/>
          <w:sz w:val="22"/>
          <w:szCs w:val="22"/>
        </w:rPr>
      </w:pPr>
      <w:r w:rsidRPr="0095391C">
        <w:rPr>
          <w:rFonts w:ascii="Calibri" w:hAnsi="Calibri" w:cs="Arial"/>
          <w:b/>
          <w:sz w:val="22"/>
          <w:szCs w:val="22"/>
        </w:rPr>
        <w:t xml:space="preserve">First author: </w:t>
      </w:r>
    </w:p>
    <w:p w14:paraId="275D0D58" w14:textId="268EB4DB" w:rsidR="00FA7473" w:rsidRPr="0095391C" w:rsidRDefault="00FA7473" w:rsidP="00FA7473">
      <w:pPr>
        <w:pStyle w:val="ListParagraph"/>
        <w:numPr>
          <w:ilvl w:val="0"/>
          <w:numId w:val="9"/>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Name</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B44C51" w:rsidRPr="0095391C">
        <w:rPr>
          <w:rFonts w:asciiTheme="minorHAnsi" w:hAnsiTheme="minorHAnsi" w:cstheme="minorHAnsi"/>
          <w:sz w:val="22"/>
          <w:szCs w:val="22"/>
        </w:rPr>
        <w:t>Herviyanti</w:t>
      </w:r>
    </w:p>
    <w:p w14:paraId="37D5C1D6" w14:textId="104A5593" w:rsidR="00FA7473" w:rsidRPr="0095391C" w:rsidRDefault="00FA7473" w:rsidP="00FA7473">
      <w:pPr>
        <w:pStyle w:val="ListParagraph"/>
        <w:numPr>
          <w:ilvl w:val="0"/>
          <w:numId w:val="9"/>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Afiliation</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5144E2" w:rsidRPr="0095391C">
        <w:rPr>
          <w:rFonts w:asciiTheme="minorHAnsi" w:hAnsiTheme="minorHAnsi" w:cstheme="minorHAnsi"/>
          <w:sz w:val="22"/>
          <w:szCs w:val="22"/>
          <w:lang w:eastAsia="ja-JP"/>
        </w:rPr>
        <w:t>Department of Soil</w:t>
      </w:r>
      <w:r w:rsidR="000E16F8">
        <w:rPr>
          <w:rFonts w:asciiTheme="minorHAnsi" w:hAnsiTheme="minorHAnsi" w:cstheme="minorHAnsi"/>
          <w:sz w:val="22"/>
          <w:szCs w:val="22"/>
          <w:lang w:eastAsia="ja-JP"/>
        </w:rPr>
        <w:t xml:space="preserve"> </w:t>
      </w:r>
      <w:bookmarkStart w:id="2" w:name="_Hlk104975628"/>
      <w:r w:rsidR="000E16F8">
        <w:rPr>
          <w:rFonts w:asciiTheme="minorHAnsi" w:hAnsiTheme="minorHAnsi" w:cstheme="minorHAnsi"/>
          <w:sz w:val="22"/>
          <w:szCs w:val="22"/>
          <w:lang w:eastAsia="ja-JP"/>
        </w:rPr>
        <w:t>Science</w:t>
      </w:r>
      <w:bookmarkEnd w:id="2"/>
      <w:r w:rsidR="005144E2" w:rsidRPr="0095391C">
        <w:rPr>
          <w:rFonts w:asciiTheme="minorHAnsi" w:hAnsiTheme="minorHAnsi" w:cstheme="minorHAnsi"/>
          <w:sz w:val="22"/>
          <w:szCs w:val="22"/>
          <w:lang w:eastAsia="ja-JP"/>
        </w:rPr>
        <w:t xml:space="preserve">, Agriculture Faculty </w:t>
      </w:r>
      <w:r w:rsidR="00B44C51" w:rsidRPr="0095391C">
        <w:rPr>
          <w:rFonts w:asciiTheme="minorHAnsi" w:hAnsiTheme="minorHAnsi" w:cstheme="minorHAnsi"/>
          <w:sz w:val="22"/>
          <w:szCs w:val="22"/>
        </w:rPr>
        <w:t>Andalas University</w:t>
      </w:r>
    </w:p>
    <w:p w14:paraId="1E79F28E" w14:textId="5D1920B8" w:rsidR="00FA7473" w:rsidRPr="0095391C" w:rsidRDefault="00FA7473" w:rsidP="00FA7473">
      <w:pPr>
        <w:pStyle w:val="ListParagraph"/>
        <w:numPr>
          <w:ilvl w:val="0"/>
          <w:numId w:val="9"/>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E-mail</w:t>
      </w:r>
      <w:r w:rsidRPr="0095391C">
        <w:rPr>
          <w:rFonts w:asciiTheme="minorHAnsi" w:hAnsiTheme="minorHAnsi" w:cstheme="minorHAnsi"/>
          <w:sz w:val="22"/>
          <w:szCs w:val="22"/>
        </w:rPr>
        <w:tab/>
        <w:t>:</w:t>
      </w:r>
      <w:r w:rsidRPr="0095391C">
        <w:rPr>
          <w:rFonts w:asciiTheme="minorHAnsi" w:hAnsiTheme="minorHAnsi" w:cstheme="minorHAnsi"/>
          <w:sz w:val="22"/>
          <w:szCs w:val="22"/>
        </w:rPr>
        <w:tab/>
      </w:r>
      <w:hyperlink r:id="rId8" w:history="1">
        <w:r w:rsidR="00B44C51" w:rsidRPr="0095391C">
          <w:rPr>
            <w:rStyle w:val="Hyperlink"/>
            <w:rFonts w:asciiTheme="minorHAnsi" w:hAnsiTheme="minorHAnsi" w:cstheme="minorHAnsi"/>
            <w:color w:val="000000" w:themeColor="text1"/>
            <w:spacing w:val="5"/>
            <w:sz w:val="22"/>
            <w:szCs w:val="22"/>
            <w:u w:val="none"/>
          </w:rPr>
          <w:t>herviyanti@agr.unand.ac.id</w:t>
        </w:r>
      </w:hyperlink>
    </w:p>
    <w:p w14:paraId="475AF3D3" w14:textId="3A2B4C39" w:rsidR="00FA7473" w:rsidRPr="0095391C" w:rsidRDefault="00FA7473" w:rsidP="00FA7473">
      <w:pPr>
        <w:pStyle w:val="ListParagraph"/>
        <w:numPr>
          <w:ilvl w:val="0"/>
          <w:numId w:val="9"/>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Orcid ID</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B171F0" w:rsidRPr="00CC2228">
        <w:rPr>
          <w:rFonts w:ascii="Arial" w:hAnsi="Arial" w:cs="Arial"/>
          <w:sz w:val="20"/>
          <w:szCs w:val="20"/>
        </w:rPr>
        <w:t>https://orcid.org/0000-0002-7853-2264</w:t>
      </w:r>
    </w:p>
    <w:p w14:paraId="0A6EB2E7" w14:textId="7ABEA7DE" w:rsidR="00FA7473" w:rsidRPr="0095391C" w:rsidRDefault="00FA7473" w:rsidP="005144E2">
      <w:pPr>
        <w:pStyle w:val="ListParagraph"/>
        <w:numPr>
          <w:ilvl w:val="0"/>
          <w:numId w:val="9"/>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Phone/HP/WA</w:t>
      </w:r>
      <w:r w:rsidRPr="0095391C">
        <w:rPr>
          <w:rFonts w:asciiTheme="minorHAnsi" w:hAnsiTheme="minorHAnsi" w:cstheme="minorHAnsi"/>
          <w:sz w:val="22"/>
          <w:szCs w:val="22"/>
        </w:rPr>
        <w:tab/>
        <w:t>:</w:t>
      </w:r>
      <w:r w:rsidRPr="0095391C">
        <w:rPr>
          <w:rFonts w:asciiTheme="minorHAnsi" w:hAnsiTheme="minorHAnsi" w:cstheme="minorHAnsi"/>
          <w:sz w:val="22"/>
          <w:szCs w:val="22"/>
        </w:rPr>
        <w:tab/>
      </w:r>
      <w:r w:rsidR="00B171F0">
        <w:rPr>
          <w:rFonts w:asciiTheme="minorHAnsi" w:hAnsiTheme="minorHAnsi" w:cstheme="minorHAnsi"/>
          <w:sz w:val="22"/>
          <w:szCs w:val="22"/>
        </w:rPr>
        <w:t>+6285274337168</w:t>
      </w:r>
    </w:p>
    <w:p w14:paraId="53D1ECDB" w14:textId="77777777" w:rsidR="00FA7473" w:rsidRPr="0095391C" w:rsidRDefault="00FA7473" w:rsidP="00FA7473">
      <w:pPr>
        <w:pStyle w:val="ListParagraph"/>
        <w:numPr>
          <w:ilvl w:val="0"/>
          <w:numId w:val="8"/>
        </w:numPr>
        <w:ind w:left="284" w:hanging="284"/>
        <w:rPr>
          <w:rFonts w:asciiTheme="minorHAnsi" w:hAnsiTheme="minorHAnsi" w:cstheme="minorHAnsi"/>
          <w:b/>
          <w:sz w:val="22"/>
          <w:szCs w:val="22"/>
        </w:rPr>
      </w:pPr>
      <w:r w:rsidRPr="0095391C">
        <w:rPr>
          <w:rFonts w:asciiTheme="minorHAnsi" w:hAnsiTheme="minorHAnsi" w:cstheme="minorHAnsi"/>
          <w:b/>
          <w:sz w:val="22"/>
          <w:szCs w:val="22"/>
        </w:rPr>
        <w:t xml:space="preserve">Second author: </w:t>
      </w:r>
    </w:p>
    <w:p w14:paraId="37787C74" w14:textId="0CCCECD6" w:rsidR="00FA7473" w:rsidRPr="0095391C" w:rsidRDefault="00FA7473" w:rsidP="00FA7473">
      <w:pPr>
        <w:pStyle w:val="ListParagraph"/>
        <w:numPr>
          <w:ilvl w:val="0"/>
          <w:numId w:val="11"/>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Name</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B44C51" w:rsidRPr="0095391C">
        <w:rPr>
          <w:rFonts w:asciiTheme="minorHAnsi" w:hAnsiTheme="minorHAnsi" w:cstheme="minorHAnsi"/>
          <w:sz w:val="22"/>
          <w:szCs w:val="22"/>
        </w:rPr>
        <w:t>Amsar Maulana</w:t>
      </w:r>
    </w:p>
    <w:p w14:paraId="244B4163" w14:textId="10FD027F" w:rsidR="00FA7473" w:rsidRPr="0095391C" w:rsidRDefault="00FA7473" w:rsidP="005144E2">
      <w:pPr>
        <w:pStyle w:val="ListParagraph"/>
        <w:numPr>
          <w:ilvl w:val="0"/>
          <w:numId w:val="11"/>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Afiliation</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5144E2" w:rsidRPr="0095391C">
        <w:rPr>
          <w:rFonts w:asciiTheme="minorHAnsi" w:hAnsiTheme="minorHAnsi" w:cstheme="minorHAnsi"/>
          <w:sz w:val="22"/>
          <w:szCs w:val="22"/>
        </w:rPr>
        <w:t>Ph.D</w:t>
      </w:r>
      <w:r w:rsidR="005144E2" w:rsidRPr="0095391C">
        <w:rPr>
          <w:rFonts w:asciiTheme="minorHAnsi" w:hAnsiTheme="minorHAnsi" w:cstheme="minorHAnsi"/>
          <w:sz w:val="22"/>
          <w:szCs w:val="22"/>
          <w:lang w:eastAsia="ja-JP"/>
        </w:rPr>
        <w:t xml:space="preserve"> Students of Agricultural Science Postgraduate </w:t>
      </w:r>
      <w:r w:rsidR="00B44C51" w:rsidRPr="0095391C">
        <w:rPr>
          <w:rFonts w:asciiTheme="minorHAnsi" w:hAnsiTheme="minorHAnsi" w:cstheme="minorHAnsi"/>
          <w:sz w:val="22"/>
          <w:szCs w:val="22"/>
        </w:rPr>
        <w:t>Andalas University</w:t>
      </w:r>
    </w:p>
    <w:p w14:paraId="21639DA4" w14:textId="380AA353" w:rsidR="005144E2" w:rsidRPr="0095391C" w:rsidRDefault="00FA7473" w:rsidP="005144E2">
      <w:pPr>
        <w:pStyle w:val="ListParagraph"/>
        <w:numPr>
          <w:ilvl w:val="0"/>
          <w:numId w:val="11"/>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E-mail</w:t>
      </w:r>
      <w:r w:rsidRPr="0095391C">
        <w:rPr>
          <w:rFonts w:asciiTheme="minorHAnsi" w:hAnsiTheme="minorHAnsi" w:cstheme="minorHAnsi"/>
          <w:sz w:val="22"/>
          <w:szCs w:val="22"/>
        </w:rPr>
        <w:tab/>
        <w:t>:</w:t>
      </w:r>
      <w:r w:rsidRPr="0095391C">
        <w:rPr>
          <w:rFonts w:asciiTheme="minorHAnsi" w:hAnsiTheme="minorHAnsi" w:cstheme="minorHAnsi"/>
          <w:sz w:val="22"/>
          <w:szCs w:val="22"/>
        </w:rPr>
        <w:tab/>
      </w:r>
      <w:hyperlink r:id="rId9" w:history="1">
        <w:r w:rsidR="005144E2" w:rsidRPr="0095391C">
          <w:rPr>
            <w:rStyle w:val="Hyperlink"/>
            <w:rFonts w:asciiTheme="minorHAnsi" w:hAnsiTheme="minorHAnsi" w:cstheme="minorHAnsi"/>
            <w:sz w:val="22"/>
            <w:szCs w:val="22"/>
            <w:shd w:val="clear" w:color="auto" w:fill="FFFFFF"/>
          </w:rPr>
          <w:t>2031612003_amsar@student.unand.ac.id</w:t>
        </w:r>
      </w:hyperlink>
    </w:p>
    <w:p w14:paraId="518729BC" w14:textId="6C4ACF28" w:rsidR="00FA7473" w:rsidRPr="0095391C" w:rsidRDefault="00FA7473" w:rsidP="005144E2">
      <w:pPr>
        <w:pStyle w:val="ListParagraph"/>
        <w:numPr>
          <w:ilvl w:val="0"/>
          <w:numId w:val="11"/>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Orcid ID</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hyperlink r:id="rId10" w:tgtFrame="_blank" w:history="1">
        <w:r w:rsidR="005144E2" w:rsidRPr="0095391C">
          <w:rPr>
            <w:rFonts w:asciiTheme="minorHAnsi" w:hAnsiTheme="minorHAnsi" w:cstheme="minorHAnsi"/>
            <w:color w:val="2E2E2E"/>
            <w:sz w:val="22"/>
            <w:szCs w:val="22"/>
          </w:rPr>
          <w:t>0000-0002-7056-4405</w:t>
        </w:r>
      </w:hyperlink>
      <w:r w:rsidRPr="0095391C">
        <w:rPr>
          <w:rFonts w:asciiTheme="minorHAnsi" w:hAnsiTheme="minorHAnsi" w:cstheme="minorHAnsi"/>
          <w:sz w:val="22"/>
          <w:szCs w:val="22"/>
        </w:rPr>
        <w:t xml:space="preserve"> </w:t>
      </w:r>
    </w:p>
    <w:p w14:paraId="4958E704" w14:textId="3279AB75" w:rsidR="00FA7473" w:rsidRPr="0095391C" w:rsidRDefault="00B44C51" w:rsidP="00B44C51">
      <w:pPr>
        <w:pStyle w:val="ListParagraph"/>
        <w:numPr>
          <w:ilvl w:val="0"/>
          <w:numId w:val="8"/>
        </w:numPr>
        <w:ind w:left="284" w:hanging="284"/>
        <w:rPr>
          <w:rFonts w:asciiTheme="minorHAnsi" w:hAnsiTheme="minorHAnsi" w:cstheme="minorHAnsi"/>
          <w:b/>
          <w:sz w:val="22"/>
          <w:szCs w:val="22"/>
        </w:rPr>
      </w:pPr>
      <w:r w:rsidRPr="0095391C">
        <w:rPr>
          <w:rFonts w:asciiTheme="minorHAnsi" w:hAnsiTheme="minorHAnsi" w:cstheme="minorHAnsi"/>
          <w:b/>
          <w:sz w:val="22"/>
          <w:szCs w:val="22"/>
        </w:rPr>
        <w:t>Third</w:t>
      </w:r>
      <w:r w:rsidR="00FA7473" w:rsidRPr="0095391C">
        <w:rPr>
          <w:rFonts w:asciiTheme="minorHAnsi" w:hAnsiTheme="minorHAnsi" w:cstheme="minorHAnsi"/>
          <w:b/>
          <w:sz w:val="22"/>
          <w:szCs w:val="22"/>
        </w:rPr>
        <w:t xml:space="preserve"> author: </w:t>
      </w:r>
    </w:p>
    <w:p w14:paraId="72A3567F" w14:textId="4C776A35" w:rsidR="00FA7473" w:rsidRPr="0095391C" w:rsidRDefault="00FA7473" w:rsidP="00FA7473">
      <w:pPr>
        <w:pStyle w:val="ListParagraph"/>
        <w:numPr>
          <w:ilvl w:val="0"/>
          <w:numId w:val="10"/>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Name</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B44C51" w:rsidRPr="0095391C">
        <w:rPr>
          <w:rFonts w:asciiTheme="minorHAnsi" w:hAnsiTheme="minorHAnsi" w:cstheme="minorHAnsi"/>
          <w:sz w:val="22"/>
          <w:szCs w:val="22"/>
        </w:rPr>
        <w:t>Arestha Leo Lita</w:t>
      </w:r>
    </w:p>
    <w:p w14:paraId="7F3A425D" w14:textId="3B957101" w:rsidR="00FA7473" w:rsidRPr="0095391C" w:rsidRDefault="00FA7473" w:rsidP="00FA7473">
      <w:pPr>
        <w:pStyle w:val="ListParagraph"/>
        <w:numPr>
          <w:ilvl w:val="0"/>
          <w:numId w:val="10"/>
        </w:numPr>
        <w:tabs>
          <w:tab w:val="left" w:pos="567"/>
          <w:tab w:val="left" w:pos="2127"/>
          <w:tab w:val="left" w:pos="2410"/>
          <w:tab w:val="left" w:leader="dot" w:pos="7371"/>
        </w:tabs>
        <w:ind w:left="2410" w:hanging="2050"/>
        <w:rPr>
          <w:rFonts w:asciiTheme="minorHAnsi" w:hAnsiTheme="minorHAnsi" w:cstheme="minorHAnsi"/>
          <w:sz w:val="22"/>
          <w:szCs w:val="22"/>
        </w:rPr>
      </w:pPr>
      <w:r w:rsidRPr="0095391C">
        <w:rPr>
          <w:rFonts w:asciiTheme="minorHAnsi" w:hAnsiTheme="minorHAnsi" w:cstheme="minorHAnsi"/>
          <w:sz w:val="22"/>
          <w:szCs w:val="22"/>
        </w:rPr>
        <w:t>Afiliation</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3A571C" w:rsidRPr="0095391C">
        <w:rPr>
          <w:rFonts w:asciiTheme="minorHAnsi" w:hAnsiTheme="minorHAnsi" w:cstheme="minorHAnsi"/>
          <w:sz w:val="22"/>
          <w:szCs w:val="22"/>
        </w:rPr>
        <w:t>Magister</w:t>
      </w:r>
      <w:r w:rsidR="003A571C" w:rsidRPr="0095391C">
        <w:rPr>
          <w:rFonts w:asciiTheme="minorHAnsi" w:hAnsiTheme="minorHAnsi" w:cstheme="minorHAnsi"/>
          <w:sz w:val="22"/>
          <w:szCs w:val="22"/>
          <w:lang w:eastAsia="ja-JP"/>
        </w:rPr>
        <w:t xml:space="preserve"> Students of Soil Science Postgraduate </w:t>
      </w:r>
      <w:r w:rsidR="003A571C" w:rsidRPr="0095391C">
        <w:rPr>
          <w:rFonts w:asciiTheme="minorHAnsi" w:hAnsiTheme="minorHAnsi" w:cstheme="minorHAnsi"/>
          <w:sz w:val="22"/>
          <w:szCs w:val="22"/>
        </w:rPr>
        <w:t>Andalas University</w:t>
      </w:r>
    </w:p>
    <w:p w14:paraId="6AC540DA" w14:textId="36C5C973" w:rsidR="005144E2" w:rsidRPr="0095391C" w:rsidRDefault="00FA7473" w:rsidP="00FA7473">
      <w:pPr>
        <w:pStyle w:val="ListParagraph"/>
        <w:numPr>
          <w:ilvl w:val="0"/>
          <w:numId w:val="10"/>
        </w:numPr>
        <w:tabs>
          <w:tab w:val="left" w:pos="567"/>
          <w:tab w:val="left" w:pos="2127"/>
          <w:tab w:val="left" w:pos="2410"/>
          <w:tab w:val="left" w:leader="dot" w:pos="7371"/>
        </w:tabs>
        <w:ind w:left="2410" w:hanging="2050"/>
        <w:rPr>
          <w:rFonts w:asciiTheme="minorHAnsi" w:hAnsiTheme="minorHAnsi" w:cstheme="minorHAnsi"/>
          <w:sz w:val="22"/>
          <w:szCs w:val="22"/>
        </w:rPr>
      </w:pPr>
      <w:r w:rsidRPr="0095391C">
        <w:rPr>
          <w:rFonts w:asciiTheme="minorHAnsi" w:hAnsiTheme="minorHAnsi" w:cstheme="minorHAnsi"/>
          <w:sz w:val="22"/>
          <w:szCs w:val="22"/>
        </w:rPr>
        <w:t>E-mail</w:t>
      </w:r>
      <w:r w:rsidRPr="0095391C">
        <w:rPr>
          <w:rFonts w:asciiTheme="minorHAnsi" w:hAnsiTheme="minorHAnsi" w:cstheme="minorHAnsi"/>
          <w:sz w:val="22"/>
          <w:szCs w:val="22"/>
        </w:rPr>
        <w:tab/>
        <w:t>:</w:t>
      </w:r>
      <w:r w:rsidRPr="0095391C">
        <w:rPr>
          <w:rFonts w:asciiTheme="minorHAnsi" w:hAnsiTheme="minorHAnsi" w:cstheme="minorHAnsi"/>
          <w:sz w:val="22"/>
          <w:szCs w:val="22"/>
        </w:rPr>
        <w:tab/>
      </w:r>
      <w:r w:rsidR="003A571C">
        <w:t>arestha1708@gmail.com</w:t>
      </w:r>
    </w:p>
    <w:p w14:paraId="14BCAC48" w14:textId="7C043687" w:rsidR="00FA7473" w:rsidRPr="0095391C" w:rsidRDefault="00FA7473" w:rsidP="00FA7473">
      <w:pPr>
        <w:pStyle w:val="ListParagraph"/>
        <w:numPr>
          <w:ilvl w:val="0"/>
          <w:numId w:val="10"/>
        </w:numPr>
        <w:tabs>
          <w:tab w:val="left" w:pos="567"/>
          <w:tab w:val="left" w:pos="2127"/>
          <w:tab w:val="left" w:pos="2410"/>
          <w:tab w:val="left" w:leader="dot" w:pos="7371"/>
        </w:tabs>
        <w:ind w:left="2410" w:hanging="2050"/>
        <w:rPr>
          <w:rFonts w:asciiTheme="minorHAnsi" w:hAnsiTheme="minorHAnsi" w:cstheme="minorHAnsi"/>
          <w:sz w:val="22"/>
          <w:szCs w:val="22"/>
        </w:rPr>
      </w:pPr>
      <w:r w:rsidRPr="0095391C">
        <w:rPr>
          <w:rFonts w:asciiTheme="minorHAnsi" w:hAnsiTheme="minorHAnsi" w:cstheme="minorHAnsi"/>
          <w:sz w:val="22"/>
          <w:szCs w:val="22"/>
        </w:rPr>
        <w:t>Orcid ID</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B171F0" w:rsidRPr="005E6576">
        <w:rPr>
          <w:rFonts w:ascii="Arial" w:hAnsi="Arial" w:cs="Arial"/>
          <w:sz w:val="20"/>
          <w:szCs w:val="20"/>
        </w:rPr>
        <w:t>https://orcid.org/0000-0002-1275-8308</w:t>
      </w:r>
    </w:p>
    <w:p w14:paraId="63502976" w14:textId="0259DC8D" w:rsidR="00B44C51" w:rsidRPr="0095391C" w:rsidRDefault="00B44C51" w:rsidP="00B44C51">
      <w:pPr>
        <w:pStyle w:val="ListParagraph"/>
        <w:numPr>
          <w:ilvl w:val="0"/>
          <w:numId w:val="8"/>
        </w:numPr>
        <w:ind w:left="284" w:hanging="284"/>
        <w:rPr>
          <w:rFonts w:asciiTheme="minorHAnsi" w:hAnsiTheme="minorHAnsi" w:cstheme="minorHAnsi"/>
          <w:b/>
          <w:sz w:val="22"/>
          <w:szCs w:val="22"/>
        </w:rPr>
      </w:pPr>
      <w:r w:rsidRPr="0095391C">
        <w:rPr>
          <w:rFonts w:asciiTheme="minorHAnsi" w:hAnsiTheme="minorHAnsi" w:cstheme="minorHAnsi"/>
          <w:b/>
          <w:sz w:val="22"/>
          <w:szCs w:val="22"/>
        </w:rPr>
        <w:t xml:space="preserve">Fourth author: </w:t>
      </w:r>
    </w:p>
    <w:p w14:paraId="1553907A" w14:textId="1741EA2D" w:rsidR="00B44C51" w:rsidRPr="0095391C" w:rsidRDefault="00B44C51" w:rsidP="00B44C51">
      <w:pPr>
        <w:pStyle w:val="ListParagraph"/>
        <w:numPr>
          <w:ilvl w:val="0"/>
          <w:numId w:val="16"/>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Name</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t>Teguh Budi Prasetyo</w:t>
      </w:r>
    </w:p>
    <w:p w14:paraId="41DA59E2" w14:textId="71B462D4" w:rsidR="00B44C51" w:rsidRPr="0095391C" w:rsidRDefault="00B44C51" w:rsidP="005144E2">
      <w:pPr>
        <w:pStyle w:val="ListParagraph"/>
        <w:numPr>
          <w:ilvl w:val="0"/>
          <w:numId w:val="16"/>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Afiliation</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5144E2" w:rsidRPr="0095391C">
        <w:rPr>
          <w:rFonts w:asciiTheme="minorHAnsi" w:hAnsiTheme="minorHAnsi" w:cstheme="minorHAnsi"/>
          <w:sz w:val="22"/>
          <w:szCs w:val="22"/>
          <w:lang w:eastAsia="ja-JP"/>
        </w:rPr>
        <w:t>Department of Soil</w:t>
      </w:r>
      <w:r w:rsidR="000E16F8" w:rsidRPr="000E16F8">
        <w:rPr>
          <w:rFonts w:asciiTheme="minorHAnsi" w:hAnsiTheme="minorHAnsi" w:cstheme="minorHAnsi"/>
          <w:sz w:val="22"/>
          <w:szCs w:val="22"/>
          <w:lang w:eastAsia="ja-JP"/>
        </w:rPr>
        <w:t xml:space="preserve"> </w:t>
      </w:r>
      <w:r w:rsidR="000E16F8">
        <w:rPr>
          <w:rFonts w:asciiTheme="minorHAnsi" w:hAnsiTheme="minorHAnsi" w:cstheme="minorHAnsi"/>
          <w:sz w:val="22"/>
          <w:szCs w:val="22"/>
          <w:lang w:eastAsia="ja-JP"/>
        </w:rPr>
        <w:t>Science</w:t>
      </w:r>
      <w:r w:rsidR="000E16F8">
        <w:rPr>
          <w:rFonts w:asciiTheme="minorHAnsi" w:hAnsiTheme="minorHAnsi" w:cstheme="minorHAnsi"/>
          <w:sz w:val="22"/>
          <w:szCs w:val="22"/>
          <w:lang w:eastAsia="ja-JP"/>
        </w:rPr>
        <w:t xml:space="preserve"> </w:t>
      </w:r>
      <w:r w:rsidR="005144E2" w:rsidRPr="0095391C">
        <w:rPr>
          <w:rFonts w:asciiTheme="minorHAnsi" w:hAnsiTheme="minorHAnsi" w:cstheme="minorHAnsi"/>
          <w:sz w:val="22"/>
          <w:szCs w:val="22"/>
          <w:lang w:eastAsia="ja-JP"/>
        </w:rPr>
        <w:t xml:space="preserve">, Agriculture Faculty </w:t>
      </w:r>
      <w:r w:rsidR="005144E2" w:rsidRPr="0095391C">
        <w:rPr>
          <w:rFonts w:asciiTheme="minorHAnsi" w:hAnsiTheme="minorHAnsi" w:cstheme="minorHAnsi"/>
          <w:sz w:val="22"/>
          <w:szCs w:val="22"/>
        </w:rPr>
        <w:t>Andalas University</w:t>
      </w:r>
    </w:p>
    <w:p w14:paraId="70B70A77" w14:textId="4671CD8B" w:rsidR="00B44C51" w:rsidRPr="0095391C" w:rsidRDefault="00B44C51" w:rsidP="00B44C51">
      <w:pPr>
        <w:pStyle w:val="ListParagraph"/>
        <w:numPr>
          <w:ilvl w:val="0"/>
          <w:numId w:val="16"/>
        </w:numPr>
        <w:tabs>
          <w:tab w:val="left" w:pos="567"/>
          <w:tab w:val="left" w:pos="2127"/>
          <w:tab w:val="left" w:pos="2410"/>
          <w:tab w:val="left" w:leader="dot" w:pos="7371"/>
        </w:tabs>
        <w:ind w:left="2410" w:hanging="2050"/>
        <w:rPr>
          <w:rFonts w:asciiTheme="minorHAnsi" w:hAnsiTheme="minorHAnsi" w:cstheme="minorHAnsi"/>
          <w:sz w:val="22"/>
          <w:szCs w:val="22"/>
        </w:rPr>
      </w:pPr>
      <w:r w:rsidRPr="0095391C">
        <w:rPr>
          <w:rFonts w:asciiTheme="minorHAnsi" w:hAnsiTheme="minorHAnsi" w:cstheme="minorHAnsi"/>
          <w:sz w:val="22"/>
          <w:szCs w:val="22"/>
        </w:rPr>
        <w:t>E-mail</w:t>
      </w:r>
      <w:r w:rsidRPr="0095391C">
        <w:rPr>
          <w:rFonts w:asciiTheme="minorHAnsi" w:hAnsiTheme="minorHAnsi" w:cstheme="minorHAnsi"/>
          <w:sz w:val="22"/>
          <w:szCs w:val="22"/>
        </w:rPr>
        <w:tab/>
        <w:t>:</w:t>
      </w:r>
      <w:r w:rsidRPr="0095391C">
        <w:rPr>
          <w:rFonts w:asciiTheme="minorHAnsi" w:hAnsiTheme="minorHAnsi" w:cstheme="minorHAnsi"/>
          <w:sz w:val="22"/>
          <w:szCs w:val="22"/>
        </w:rPr>
        <w:tab/>
      </w:r>
      <w:hyperlink r:id="rId11" w:history="1">
        <w:r w:rsidR="000E16F8" w:rsidRPr="006003B4">
          <w:rPr>
            <w:rFonts w:eastAsia="SimSun"/>
            <w:color w:val="0000FF"/>
            <w:u w:val="single"/>
            <w:lang w:eastAsia="id-ID"/>
          </w:rPr>
          <w:t>teguh160395@yahoo.com</w:t>
        </w:r>
      </w:hyperlink>
    </w:p>
    <w:p w14:paraId="49AE45FB" w14:textId="77777777" w:rsidR="000E16F8" w:rsidRPr="000E16F8" w:rsidRDefault="00B44C51" w:rsidP="000E16F8">
      <w:pPr>
        <w:pStyle w:val="ListParagraph"/>
        <w:numPr>
          <w:ilvl w:val="0"/>
          <w:numId w:val="16"/>
        </w:numPr>
        <w:tabs>
          <w:tab w:val="left" w:pos="567"/>
          <w:tab w:val="left" w:pos="2127"/>
          <w:tab w:val="left" w:pos="2410"/>
          <w:tab w:val="left" w:leader="dot" w:pos="7371"/>
        </w:tabs>
        <w:ind w:left="2410" w:hanging="2050"/>
        <w:rPr>
          <w:rFonts w:asciiTheme="minorHAnsi" w:hAnsiTheme="minorHAnsi" w:cstheme="minorHAnsi"/>
          <w:sz w:val="22"/>
          <w:szCs w:val="22"/>
        </w:rPr>
      </w:pPr>
      <w:r w:rsidRPr="0095391C">
        <w:rPr>
          <w:rFonts w:asciiTheme="minorHAnsi" w:hAnsiTheme="minorHAnsi" w:cstheme="minorHAnsi"/>
          <w:sz w:val="22"/>
          <w:szCs w:val="22"/>
        </w:rPr>
        <w:t>Orcid ID</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0E16F8" w:rsidRPr="000E16F8">
        <w:rPr>
          <w:rFonts w:asciiTheme="minorHAnsi" w:hAnsiTheme="minorHAnsi" w:cstheme="minorHAnsi"/>
          <w:sz w:val="22"/>
          <w:szCs w:val="22"/>
          <w:lang w:val="id-ID"/>
        </w:rPr>
        <w:t>https://orcid.org/0000-0002-9486-0989</w:t>
      </w:r>
    </w:p>
    <w:p w14:paraId="7F040F95" w14:textId="0285D23D" w:rsidR="00B44C51" w:rsidRPr="0095391C" w:rsidRDefault="005144E2" w:rsidP="005144E2">
      <w:pPr>
        <w:spacing w:before="0"/>
        <w:rPr>
          <w:rFonts w:asciiTheme="minorHAnsi" w:hAnsiTheme="minorHAnsi" w:cstheme="minorHAnsi"/>
          <w:b/>
        </w:rPr>
      </w:pPr>
      <w:r w:rsidRPr="0095391C">
        <w:rPr>
          <w:rFonts w:asciiTheme="minorHAnsi" w:hAnsiTheme="minorHAnsi" w:cstheme="minorHAnsi"/>
          <w:b/>
          <w:lang w:val="en-US"/>
        </w:rPr>
        <w:t>VI. fifth</w:t>
      </w:r>
      <w:r w:rsidR="00B44C51" w:rsidRPr="0095391C">
        <w:rPr>
          <w:rFonts w:asciiTheme="minorHAnsi" w:hAnsiTheme="minorHAnsi" w:cstheme="minorHAnsi"/>
          <w:b/>
        </w:rPr>
        <w:t xml:space="preserve"> author: </w:t>
      </w:r>
    </w:p>
    <w:p w14:paraId="59D6C947" w14:textId="6BF2DEB4" w:rsidR="00B44C51" w:rsidRPr="0095391C" w:rsidRDefault="00B44C51" w:rsidP="005144E2">
      <w:pPr>
        <w:pStyle w:val="ListParagraph"/>
        <w:numPr>
          <w:ilvl w:val="0"/>
          <w:numId w:val="17"/>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Name</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5144E2" w:rsidRPr="0095391C">
        <w:rPr>
          <w:rFonts w:asciiTheme="minorHAnsi" w:hAnsiTheme="minorHAnsi" w:cstheme="minorHAnsi"/>
          <w:sz w:val="22"/>
          <w:szCs w:val="22"/>
        </w:rPr>
        <w:t>Sandra Prima</w:t>
      </w:r>
    </w:p>
    <w:p w14:paraId="128D6AA9" w14:textId="3047884A" w:rsidR="005144E2" w:rsidRPr="0095391C" w:rsidRDefault="00B44C51" w:rsidP="005144E2">
      <w:pPr>
        <w:pStyle w:val="ListParagraph"/>
        <w:numPr>
          <w:ilvl w:val="0"/>
          <w:numId w:val="17"/>
        </w:numPr>
        <w:tabs>
          <w:tab w:val="left" w:pos="567"/>
          <w:tab w:val="left" w:pos="2127"/>
          <w:tab w:val="left" w:pos="2410"/>
          <w:tab w:val="left" w:leader="dot" w:pos="7371"/>
        </w:tabs>
        <w:rPr>
          <w:rFonts w:asciiTheme="minorHAnsi" w:hAnsiTheme="minorHAnsi" w:cstheme="minorHAnsi"/>
          <w:sz w:val="22"/>
          <w:szCs w:val="22"/>
        </w:rPr>
      </w:pPr>
      <w:r w:rsidRPr="0095391C">
        <w:rPr>
          <w:rFonts w:asciiTheme="minorHAnsi" w:hAnsiTheme="minorHAnsi" w:cstheme="minorHAnsi"/>
          <w:sz w:val="22"/>
          <w:szCs w:val="22"/>
        </w:rPr>
        <w:t>Afiliation</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005144E2" w:rsidRPr="0095391C">
        <w:rPr>
          <w:rFonts w:asciiTheme="minorHAnsi" w:hAnsiTheme="minorHAnsi" w:cstheme="minorHAnsi"/>
          <w:sz w:val="22"/>
          <w:szCs w:val="22"/>
          <w:lang w:eastAsia="ja-JP"/>
        </w:rPr>
        <w:t>Department of Soil</w:t>
      </w:r>
      <w:r w:rsidR="000E16F8" w:rsidRPr="000E16F8">
        <w:rPr>
          <w:rFonts w:asciiTheme="minorHAnsi" w:hAnsiTheme="minorHAnsi" w:cstheme="minorHAnsi"/>
          <w:sz w:val="22"/>
          <w:szCs w:val="22"/>
          <w:lang w:eastAsia="ja-JP"/>
        </w:rPr>
        <w:t xml:space="preserve"> </w:t>
      </w:r>
      <w:r w:rsidR="000E16F8">
        <w:rPr>
          <w:rFonts w:asciiTheme="minorHAnsi" w:hAnsiTheme="minorHAnsi" w:cstheme="minorHAnsi"/>
          <w:sz w:val="22"/>
          <w:szCs w:val="22"/>
          <w:lang w:eastAsia="ja-JP"/>
        </w:rPr>
        <w:t>Science</w:t>
      </w:r>
      <w:r w:rsidR="000E16F8">
        <w:rPr>
          <w:rFonts w:asciiTheme="minorHAnsi" w:hAnsiTheme="minorHAnsi" w:cstheme="minorHAnsi"/>
          <w:sz w:val="22"/>
          <w:szCs w:val="22"/>
          <w:lang w:eastAsia="ja-JP"/>
        </w:rPr>
        <w:t xml:space="preserve">, </w:t>
      </w:r>
      <w:r w:rsidR="005144E2" w:rsidRPr="0095391C">
        <w:rPr>
          <w:rFonts w:asciiTheme="minorHAnsi" w:hAnsiTheme="minorHAnsi" w:cstheme="minorHAnsi"/>
          <w:sz w:val="22"/>
          <w:szCs w:val="22"/>
          <w:lang w:eastAsia="ja-JP"/>
        </w:rPr>
        <w:t xml:space="preserve"> Agriculture Faculty </w:t>
      </w:r>
      <w:r w:rsidR="005144E2" w:rsidRPr="0095391C">
        <w:rPr>
          <w:rFonts w:asciiTheme="minorHAnsi" w:hAnsiTheme="minorHAnsi" w:cstheme="minorHAnsi"/>
          <w:sz w:val="22"/>
          <w:szCs w:val="22"/>
        </w:rPr>
        <w:t>Andalas University</w:t>
      </w:r>
    </w:p>
    <w:p w14:paraId="053570A5" w14:textId="4B85AA32" w:rsidR="00B44C51" w:rsidRPr="0095391C" w:rsidRDefault="00B44C51" w:rsidP="005144E2">
      <w:pPr>
        <w:pStyle w:val="ListParagraph"/>
        <w:numPr>
          <w:ilvl w:val="0"/>
          <w:numId w:val="17"/>
        </w:numPr>
        <w:tabs>
          <w:tab w:val="left" w:pos="567"/>
          <w:tab w:val="left" w:pos="2127"/>
          <w:tab w:val="left" w:pos="2410"/>
          <w:tab w:val="left" w:leader="dot" w:pos="7371"/>
        </w:tabs>
        <w:ind w:left="2410" w:hanging="2050"/>
        <w:rPr>
          <w:rFonts w:asciiTheme="minorHAnsi" w:hAnsiTheme="minorHAnsi" w:cstheme="minorHAnsi"/>
          <w:sz w:val="22"/>
          <w:szCs w:val="22"/>
        </w:rPr>
      </w:pPr>
      <w:r w:rsidRPr="0095391C">
        <w:rPr>
          <w:rFonts w:asciiTheme="minorHAnsi" w:hAnsiTheme="minorHAnsi" w:cstheme="minorHAnsi"/>
          <w:sz w:val="22"/>
          <w:szCs w:val="22"/>
        </w:rPr>
        <w:t>E-mail</w:t>
      </w:r>
      <w:r w:rsidRPr="0095391C">
        <w:rPr>
          <w:rFonts w:asciiTheme="minorHAnsi" w:hAnsiTheme="minorHAnsi" w:cstheme="minorHAnsi"/>
          <w:sz w:val="22"/>
          <w:szCs w:val="22"/>
        </w:rPr>
        <w:tab/>
        <w:t>:</w:t>
      </w:r>
      <w:r w:rsidRPr="0095391C">
        <w:rPr>
          <w:rFonts w:asciiTheme="minorHAnsi" w:hAnsiTheme="minorHAnsi" w:cstheme="minorHAnsi"/>
          <w:sz w:val="22"/>
          <w:szCs w:val="22"/>
        </w:rPr>
        <w:tab/>
      </w:r>
      <w:r w:rsidR="003A571C" w:rsidRPr="001B19E0">
        <w:t>sasaprima@yahoo.com</w:t>
      </w:r>
    </w:p>
    <w:p w14:paraId="252A1056" w14:textId="167EA1EE" w:rsidR="00FA7473" w:rsidRPr="0095391C" w:rsidRDefault="00B44C51" w:rsidP="00FA7473">
      <w:pPr>
        <w:pStyle w:val="ListParagraph"/>
        <w:numPr>
          <w:ilvl w:val="0"/>
          <w:numId w:val="17"/>
        </w:numPr>
        <w:tabs>
          <w:tab w:val="left" w:pos="567"/>
          <w:tab w:val="left" w:pos="2127"/>
          <w:tab w:val="left" w:pos="2410"/>
          <w:tab w:val="left" w:leader="dot" w:pos="7371"/>
        </w:tabs>
        <w:ind w:left="644" w:hanging="2050"/>
        <w:rPr>
          <w:rFonts w:ascii="Calibri" w:hAnsi="Calibri" w:cs="Arial"/>
          <w:sz w:val="22"/>
          <w:szCs w:val="22"/>
        </w:rPr>
      </w:pPr>
      <w:r w:rsidRPr="0095391C">
        <w:rPr>
          <w:rFonts w:asciiTheme="minorHAnsi" w:hAnsiTheme="minorHAnsi" w:cstheme="minorHAnsi"/>
          <w:sz w:val="22"/>
          <w:szCs w:val="22"/>
        </w:rPr>
        <w:t>Orcid ID</w:t>
      </w:r>
      <w:r w:rsidRPr="0095391C">
        <w:rPr>
          <w:rFonts w:asciiTheme="minorHAnsi" w:hAnsiTheme="minorHAnsi" w:cstheme="minorHAnsi"/>
          <w:sz w:val="22"/>
          <w:szCs w:val="22"/>
        </w:rPr>
        <w:tab/>
        <w:t xml:space="preserve">: </w:t>
      </w:r>
      <w:r w:rsidRPr="0095391C">
        <w:rPr>
          <w:rFonts w:asciiTheme="minorHAnsi" w:hAnsiTheme="minorHAnsi" w:cstheme="minorHAnsi"/>
          <w:sz w:val="22"/>
          <w:szCs w:val="22"/>
        </w:rPr>
        <w:tab/>
      </w:r>
      <w:r w:rsidRPr="0095391C">
        <w:rPr>
          <w:rFonts w:asciiTheme="minorHAnsi" w:hAnsiTheme="minorHAnsi" w:cstheme="minorHAnsi"/>
          <w:sz w:val="22"/>
          <w:szCs w:val="22"/>
        </w:rPr>
        <w:tab/>
      </w:r>
    </w:p>
    <w:p w14:paraId="59C18656" w14:textId="77777777" w:rsidR="00FA7473" w:rsidRPr="0095391C" w:rsidRDefault="00FA7473" w:rsidP="00FA7473">
      <w:pPr>
        <w:pStyle w:val="ListParagraph"/>
        <w:ind w:left="644"/>
        <w:rPr>
          <w:rFonts w:ascii="Calibri" w:hAnsi="Calibri" w:cs="Arial"/>
          <w:sz w:val="22"/>
          <w:szCs w:val="22"/>
        </w:rPr>
      </w:pPr>
    </w:p>
    <w:p w14:paraId="704B7BF0" w14:textId="5069A5ED" w:rsidR="00FA7473" w:rsidRPr="0095391C" w:rsidRDefault="00F03FA6" w:rsidP="00F03FA6">
      <w:pPr>
        <w:rPr>
          <w:rFonts w:cs="Arial"/>
          <w:b/>
        </w:rPr>
      </w:pPr>
      <w:r w:rsidRPr="0095391C">
        <w:rPr>
          <w:rFonts w:cs="Arial"/>
          <w:b/>
          <w:lang w:val="en-US"/>
        </w:rPr>
        <w:t xml:space="preserve">2. </w:t>
      </w:r>
      <w:r w:rsidR="00FA7473" w:rsidRPr="0095391C">
        <w:rPr>
          <w:rFonts w:cs="Arial"/>
          <w:b/>
        </w:rPr>
        <w:t>The main findings and why they are important and useful.</w:t>
      </w:r>
    </w:p>
    <w:p w14:paraId="2A46F12A" w14:textId="385AB724" w:rsidR="00A82E2F" w:rsidRPr="00A82E2F" w:rsidRDefault="00A82E2F" w:rsidP="00A82E2F">
      <w:pPr>
        <w:pStyle w:val="ListParagraph"/>
        <w:tabs>
          <w:tab w:val="left" w:leader="dot" w:pos="8505"/>
        </w:tabs>
        <w:ind w:left="426"/>
        <w:rPr>
          <w:rFonts w:cs="Arial"/>
        </w:rPr>
      </w:pPr>
      <w:r w:rsidRPr="00A82E2F">
        <w:rPr>
          <w:rFonts w:cs="Arial"/>
          <w:lang w:val="id-ID"/>
        </w:rPr>
        <w:t xml:space="preserve">The application of </w:t>
      </w:r>
      <w:r>
        <w:rPr>
          <w:rFonts w:cs="Arial"/>
        </w:rPr>
        <w:t>r</w:t>
      </w:r>
      <w:r w:rsidRPr="00A82E2F">
        <w:rPr>
          <w:rFonts w:cs="Arial"/>
        </w:rPr>
        <w:t xml:space="preserve">ice hush </w:t>
      </w:r>
      <w:r w:rsidRPr="00A82E2F">
        <w:rPr>
          <w:rFonts w:cs="Arial"/>
          <w:lang w:val="id-ID"/>
        </w:rPr>
        <w:t xml:space="preserve">biochar into the soil </w:t>
      </w:r>
      <w:r w:rsidRPr="00A82E2F">
        <w:rPr>
          <w:rFonts w:cs="Arial"/>
        </w:rPr>
        <w:t>(</w:t>
      </w:r>
      <w:r w:rsidRPr="00A82E2F">
        <w:rPr>
          <w:rFonts w:cs="Arial"/>
          <w:lang w:val="id-ID"/>
        </w:rPr>
        <w:t>especially those cultivated in Inceptisols</w:t>
      </w:r>
      <w:r w:rsidRPr="00A82E2F">
        <w:rPr>
          <w:rFonts w:cs="Arial"/>
        </w:rPr>
        <w:t>)</w:t>
      </w:r>
      <w:r w:rsidRPr="00A82E2F">
        <w:rPr>
          <w:rFonts w:cs="Arial"/>
          <w:lang w:val="id-ID"/>
        </w:rPr>
        <w:t xml:space="preserve"> is expected to increase the a</w:t>
      </w:r>
      <w:r w:rsidRPr="00A82E2F">
        <w:rPr>
          <w:rFonts w:cs="Arial"/>
        </w:rPr>
        <w:t>d</w:t>
      </w:r>
      <w:r w:rsidRPr="00A82E2F">
        <w:rPr>
          <w:rFonts w:cs="Arial"/>
          <w:lang w:val="id-ID"/>
        </w:rPr>
        <w:t>sorption of pesticide residues that occur in horticultural cultivation.</w:t>
      </w:r>
      <w:r w:rsidRPr="00A82E2F">
        <w:rPr>
          <w:rFonts w:cs="Arial"/>
        </w:rPr>
        <w:t xml:space="preserve"> </w:t>
      </w:r>
    </w:p>
    <w:p w14:paraId="7844A198" w14:textId="48D238DD" w:rsidR="00FA7473" w:rsidRPr="0095391C" w:rsidRDefault="00F03FA6" w:rsidP="00F03FA6">
      <w:pPr>
        <w:rPr>
          <w:rFonts w:cs="Arial"/>
          <w:b/>
        </w:rPr>
      </w:pPr>
      <w:r w:rsidRPr="0095391C">
        <w:rPr>
          <w:rFonts w:cs="Arial"/>
          <w:b/>
          <w:lang w:val="en-US"/>
        </w:rPr>
        <w:t xml:space="preserve">3. </w:t>
      </w:r>
      <w:r w:rsidR="00FA7473" w:rsidRPr="0095391C">
        <w:rPr>
          <w:rFonts w:cs="Arial"/>
          <w:b/>
        </w:rPr>
        <w:t>Why the readers of the journal would be interested in the work.</w:t>
      </w:r>
    </w:p>
    <w:p w14:paraId="255B1ECE" w14:textId="77777777" w:rsidR="00A82E2F" w:rsidRPr="00A82E2F" w:rsidRDefault="00A82E2F" w:rsidP="00A82E2F">
      <w:pPr>
        <w:pStyle w:val="ListParagraph"/>
        <w:tabs>
          <w:tab w:val="left" w:leader="dot" w:pos="8505"/>
        </w:tabs>
        <w:ind w:left="426"/>
        <w:rPr>
          <w:rFonts w:cs="Arial"/>
        </w:rPr>
      </w:pPr>
      <w:r w:rsidRPr="00A82E2F">
        <w:rPr>
          <w:rFonts w:cs="Arial"/>
        </w:rPr>
        <w:t xml:space="preserve">The use of pesticides on horticultural crops, is already at a level of pollution that exceeds the recommendations given. This is important to study as a form of testing the ability of Inceptisols and Inceptisols ameliorated with biochar to improve and simultaneously adsorption of pesticides so they do not reach the food chain. Soil as a natural adsorbent has the capacity and charge activity that can absorb the pollutants in it. </w:t>
      </w:r>
    </w:p>
    <w:p w14:paraId="17C2DF99" w14:textId="2E57A44D" w:rsidR="00FA7473" w:rsidRPr="0095391C" w:rsidRDefault="00F03FA6" w:rsidP="00F03FA6">
      <w:pPr>
        <w:rPr>
          <w:rFonts w:cs="Arial"/>
          <w:b/>
        </w:rPr>
      </w:pPr>
      <w:r w:rsidRPr="0095391C">
        <w:rPr>
          <w:rFonts w:cs="Arial"/>
          <w:b/>
          <w:lang w:val="en-US"/>
        </w:rPr>
        <w:t xml:space="preserve">4. </w:t>
      </w:r>
      <w:r w:rsidR="00FA7473" w:rsidRPr="0095391C">
        <w:rPr>
          <w:rFonts w:cs="Arial"/>
          <w:b/>
        </w:rPr>
        <w:t xml:space="preserve">Suggested Reviewers : </w:t>
      </w:r>
      <w:r w:rsidR="00FA7473" w:rsidRPr="0095391C">
        <w:rPr>
          <w:rFonts w:cs="Arial"/>
          <w:i/>
        </w:rPr>
        <w:t>(2 reviewers</w:t>
      </w:r>
      <w:r w:rsidR="00733028" w:rsidRPr="0095391C">
        <w:rPr>
          <w:rFonts w:cs="Arial"/>
          <w:i/>
        </w:rPr>
        <w:t xml:space="preserve"> from different country with authors, and Scopus H-index minimum 2 </w:t>
      </w:r>
      <w:r w:rsidR="00FA7473" w:rsidRPr="0095391C">
        <w:rPr>
          <w:rFonts w:cs="Arial"/>
          <w:i/>
        </w:rPr>
        <w:t>)</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
        <w:gridCol w:w="1484"/>
        <w:gridCol w:w="1663"/>
        <w:gridCol w:w="1276"/>
        <w:gridCol w:w="1701"/>
        <w:gridCol w:w="1642"/>
      </w:tblGrid>
      <w:tr w:rsidR="00674E21" w:rsidRPr="0095391C" w14:paraId="4B95717F" w14:textId="77777777" w:rsidTr="00AD64C9">
        <w:tc>
          <w:tcPr>
            <w:tcW w:w="504" w:type="dxa"/>
            <w:shd w:val="clear" w:color="auto" w:fill="auto"/>
            <w:vAlign w:val="center"/>
          </w:tcPr>
          <w:p w14:paraId="2A08A2B6"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lastRenderedPageBreak/>
              <w:t>No</w:t>
            </w:r>
          </w:p>
        </w:tc>
        <w:tc>
          <w:tcPr>
            <w:tcW w:w="1484" w:type="dxa"/>
            <w:shd w:val="clear" w:color="auto" w:fill="auto"/>
            <w:vAlign w:val="center"/>
          </w:tcPr>
          <w:p w14:paraId="2856E773"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t>Name</w:t>
            </w:r>
          </w:p>
        </w:tc>
        <w:tc>
          <w:tcPr>
            <w:tcW w:w="1663" w:type="dxa"/>
            <w:shd w:val="clear" w:color="auto" w:fill="auto"/>
            <w:vAlign w:val="center"/>
          </w:tcPr>
          <w:p w14:paraId="28F9FD9F"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t>Affiliation</w:t>
            </w:r>
          </w:p>
        </w:tc>
        <w:tc>
          <w:tcPr>
            <w:tcW w:w="1276" w:type="dxa"/>
            <w:shd w:val="clear" w:color="auto" w:fill="auto"/>
            <w:vAlign w:val="center"/>
          </w:tcPr>
          <w:p w14:paraId="1983843F"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t>Review Interests</w:t>
            </w:r>
          </w:p>
        </w:tc>
        <w:tc>
          <w:tcPr>
            <w:tcW w:w="1701" w:type="dxa"/>
            <w:shd w:val="clear" w:color="auto" w:fill="auto"/>
            <w:vAlign w:val="center"/>
          </w:tcPr>
          <w:p w14:paraId="6575234D"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t>E-mail address</w:t>
            </w:r>
          </w:p>
          <w:p w14:paraId="59D82693"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t>And</w:t>
            </w:r>
          </w:p>
          <w:p w14:paraId="544CBAEE"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t>Phone contact number (if any)</w:t>
            </w:r>
          </w:p>
        </w:tc>
        <w:tc>
          <w:tcPr>
            <w:tcW w:w="1642" w:type="dxa"/>
            <w:shd w:val="clear" w:color="auto" w:fill="auto"/>
          </w:tcPr>
          <w:p w14:paraId="1EAC1B06" w14:textId="77777777" w:rsidR="00FA7473" w:rsidRPr="0095391C" w:rsidRDefault="00FA7473" w:rsidP="00AD64C9">
            <w:pPr>
              <w:pStyle w:val="ListParagraph"/>
              <w:tabs>
                <w:tab w:val="left" w:leader="dot" w:pos="8505"/>
              </w:tabs>
              <w:ind w:left="0"/>
              <w:rPr>
                <w:rFonts w:ascii="Calibri" w:hAnsi="Calibri" w:cs="Arial"/>
                <w:sz w:val="22"/>
                <w:szCs w:val="22"/>
              </w:rPr>
            </w:pPr>
            <w:r w:rsidRPr="0095391C">
              <w:rPr>
                <w:rFonts w:ascii="Calibri" w:hAnsi="Calibri" w:cs="Arial"/>
                <w:sz w:val="22"/>
                <w:szCs w:val="22"/>
              </w:rPr>
              <w:t>ORCID ID/ Scopus ID/ Linkedin ID/ Google Scholar Profile Address</w:t>
            </w:r>
          </w:p>
        </w:tc>
      </w:tr>
      <w:tr w:rsidR="00674E21" w:rsidRPr="0095391C" w14:paraId="7DB7501C" w14:textId="77777777" w:rsidTr="00AD64C9">
        <w:tc>
          <w:tcPr>
            <w:tcW w:w="504" w:type="dxa"/>
            <w:shd w:val="clear" w:color="auto" w:fill="auto"/>
            <w:vAlign w:val="center"/>
          </w:tcPr>
          <w:p w14:paraId="3F2FF771" w14:textId="77777777" w:rsidR="00FA7473" w:rsidRPr="0095391C" w:rsidRDefault="00FA7473" w:rsidP="00AD64C9">
            <w:pPr>
              <w:pStyle w:val="ListParagraph"/>
              <w:tabs>
                <w:tab w:val="left" w:leader="dot" w:pos="8505"/>
              </w:tabs>
              <w:ind w:left="0"/>
              <w:jc w:val="center"/>
              <w:rPr>
                <w:rFonts w:ascii="Calibri" w:hAnsi="Calibri" w:cs="Arial"/>
                <w:sz w:val="22"/>
                <w:szCs w:val="22"/>
              </w:rPr>
            </w:pPr>
            <w:r w:rsidRPr="0095391C">
              <w:rPr>
                <w:rFonts w:ascii="Calibri" w:hAnsi="Calibri" w:cs="Arial"/>
                <w:sz w:val="22"/>
                <w:szCs w:val="22"/>
              </w:rPr>
              <w:t>1</w:t>
            </w:r>
          </w:p>
        </w:tc>
        <w:tc>
          <w:tcPr>
            <w:tcW w:w="1484" w:type="dxa"/>
            <w:shd w:val="clear" w:color="auto" w:fill="auto"/>
          </w:tcPr>
          <w:p w14:paraId="2E348FE1" w14:textId="77777777" w:rsidR="00FA7473" w:rsidRPr="0095391C" w:rsidRDefault="00FA7473" w:rsidP="00AD64C9">
            <w:pPr>
              <w:pStyle w:val="ListParagraph"/>
              <w:tabs>
                <w:tab w:val="left" w:leader="dot" w:pos="8505"/>
              </w:tabs>
              <w:ind w:left="0"/>
              <w:rPr>
                <w:rFonts w:ascii="Calibri" w:hAnsi="Calibri" w:cs="Arial"/>
                <w:sz w:val="22"/>
                <w:szCs w:val="22"/>
              </w:rPr>
            </w:pPr>
          </w:p>
        </w:tc>
        <w:tc>
          <w:tcPr>
            <w:tcW w:w="1663" w:type="dxa"/>
            <w:shd w:val="clear" w:color="auto" w:fill="auto"/>
          </w:tcPr>
          <w:p w14:paraId="31807ECF" w14:textId="77777777" w:rsidR="00FA7473" w:rsidRPr="0095391C" w:rsidRDefault="00FA7473" w:rsidP="00AD64C9">
            <w:pPr>
              <w:pStyle w:val="ListParagraph"/>
              <w:tabs>
                <w:tab w:val="left" w:leader="dot" w:pos="8505"/>
              </w:tabs>
              <w:ind w:left="0"/>
              <w:rPr>
                <w:rFonts w:ascii="Calibri" w:hAnsi="Calibri" w:cs="Arial"/>
                <w:sz w:val="22"/>
                <w:szCs w:val="22"/>
              </w:rPr>
            </w:pPr>
          </w:p>
        </w:tc>
        <w:tc>
          <w:tcPr>
            <w:tcW w:w="1276" w:type="dxa"/>
            <w:shd w:val="clear" w:color="auto" w:fill="auto"/>
          </w:tcPr>
          <w:p w14:paraId="298D9D66" w14:textId="77777777" w:rsidR="00FA7473" w:rsidRPr="0095391C" w:rsidRDefault="00FA7473" w:rsidP="00AD64C9">
            <w:pPr>
              <w:pStyle w:val="ListParagraph"/>
              <w:tabs>
                <w:tab w:val="left" w:leader="dot" w:pos="8505"/>
              </w:tabs>
              <w:ind w:left="0"/>
              <w:rPr>
                <w:rFonts w:ascii="Calibri" w:hAnsi="Calibri" w:cs="Arial"/>
                <w:sz w:val="22"/>
                <w:szCs w:val="22"/>
              </w:rPr>
            </w:pPr>
          </w:p>
        </w:tc>
        <w:tc>
          <w:tcPr>
            <w:tcW w:w="1701" w:type="dxa"/>
            <w:shd w:val="clear" w:color="auto" w:fill="auto"/>
          </w:tcPr>
          <w:p w14:paraId="38DC0F7F" w14:textId="77777777" w:rsidR="00FA7473" w:rsidRPr="0095391C" w:rsidRDefault="00FA7473" w:rsidP="00AD64C9">
            <w:pPr>
              <w:pStyle w:val="ListParagraph"/>
              <w:tabs>
                <w:tab w:val="left" w:leader="dot" w:pos="8505"/>
              </w:tabs>
              <w:ind w:left="0"/>
              <w:rPr>
                <w:rFonts w:ascii="Calibri" w:hAnsi="Calibri" w:cs="Arial"/>
                <w:sz w:val="22"/>
                <w:szCs w:val="22"/>
              </w:rPr>
            </w:pPr>
          </w:p>
        </w:tc>
        <w:tc>
          <w:tcPr>
            <w:tcW w:w="1642" w:type="dxa"/>
            <w:shd w:val="clear" w:color="auto" w:fill="auto"/>
          </w:tcPr>
          <w:p w14:paraId="6D4B52E0" w14:textId="77777777" w:rsidR="00FA7473" w:rsidRPr="0095391C" w:rsidRDefault="00FA7473" w:rsidP="00AD64C9">
            <w:pPr>
              <w:pStyle w:val="ListParagraph"/>
              <w:tabs>
                <w:tab w:val="left" w:leader="dot" w:pos="8505"/>
              </w:tabs>
              <w:ind w:left="0"/>
              <w:rPr>
                <w:rFonts w:ascii="Calibri" w:hAnsi="Calibri" w:cs="Arial"/>
                <w:sz w:val="22"/>
                <w:szCs w:val="22"/>
              </w:rPr>
            </w:pPr>
          </w:p>
        </w:tc>
      </w:tr>
    </w:tbl>
    <w:p w14:paraId="505FBA29" w14:textId="7DE4E388" w:rsidR="004A6FA1" w:rsidRPr="0095391C" w:rsidRDefault="004A6FA1" w:rsidP="00FA7473">
      <w:pPr>
        <w:spacing w:before="0" w:line="240" w:lineRule="auto"/>
        <w:jc w:val="left"/>
        <w:rPr>
          <w:rFonts w:cs="Calibri"/>
          <w:b/>
          <w:sz w:val="28"/>
          <w:szCs w:val="28"/>
        </w:rPr>
        <w:sectPr w:rsidR="004A6FA1" w:rsidRPr="0095391C" w:rsidSect="00B34DF2">
          <w:footerReference w:type="default" r:id="rId12"/>
          <w:footerReference w:type="first" r:id="rId13"/>
          <w:pgSz w:w="11906" w:h="16838"/>
          <w:pgMar w:top="1985" w:right="1440" w:bottom="1440" w:left="1440" w:header="708" w:footer="510" w:gutter="0"/>
          <w:pgNumType w:start="1"/>
          <w:cols w:space="708"/>
          <w:titlePg/>
          <w:docGrid w:linePitch="360"/>
        </w:sectPr>
      </w:pPr>
    </w:p>
    <w:p w14:paraId="55FAB48E" w14:textId="77777777" w:rsidR="00BB7920" w:rsidRPr="0095391C" w:rsidRDefault="00BB7920" w:rsidP="00BB7920">
      <w:pPr>
        <w:pStyle w:val="Heading1"/>
        <w:keepNext w:val="0"/>
        <w:widowControl w:val="0"/>
        <w:tabs>
          <w:tab w:val="clear" w:pos="993"/>
          <w:tab w:val="left" w:pos="7965"/>
        </w:tabs>
        <w:spacing w:after="0"/>
        <w:rPr>
          <w:rFonts w:asciiTheme="minorHAnsi" w:eastAsia="MS Mincho" w:hAnsiTheme="minorHAnsi" w:cstheme="minorHAnsi"/>
          <w:caps w:val="0"/>
          <w:szCs w:val="28"/>
          <w:lang w:eastAsia="ja-JP"/>
        </w:rPr>
      </w:pPr>
      <w:r w:rsidRPr="0095391C">
        <w:rPr>
          <w:rFonts w:asciiTheme="minorHAnsi" w:eastAsia="MS Mincho" w:hAnsiTheme="minorHAnsi" w:cstheme="minorHAnsi"/>
        </w:rPr>
        <w:lastRenderedPageBreak/>
        <w:t>glyphosate adsorption in INCEPTIsOLS Amended with rice husk Biochar</w:t>
      </w:r>
    </w:p>
    <w:p w14:paraId="53888813" w14:textId="77777777" w:rsidR="00FA7473" w:rsidRPr="0095391C" w:rsidRDefault="00FA7473" w:rsidP="00FA7473">
      <w:pPr>
        <w:pStyle w:val="BodyText2"/>
        <w:spacing w:before="0" w:after="0" w:line="240" w:lineRule="auto"/>
        <w:rPr>
          <w:rFonts w:ascii="Calibri" w:hAnsi="Calibri" w:cs="Calibri"/>
          <w:b/>
          <w:kern w:val="0"/>
          <w:sz w:val="24"/>
          <w:szCs w:val="24"/>
          <w:lang w:val="en-GB"/>
        </w:rPr>
      </w:pPr>
    </w:p>
    <w:p w14:paraId="37D92E73" w14:textId="77777777" w:rsidR="00FA7473" w:rsidRPr="0095391C" w:rsidRDefault="00FA7473" w:rsidP="004A6FA1">
      <w:pPr>
        <w:pStyle w:val="BodyText"/>
        <w:spacing w:beforeLines="0" w:after="0" w:line="276" w:lineRule="auto"/>
        <w:jc w:val="center"/>
        <w:rPr>
          <w:rFonts w:ascii="Calibri" w:hAnsi="Calibri" w:cs="Calibri"/>
          <w:b/>
          <w:sz w:val="22"/>
        </w:rPr>
      </w:pPr>
      <w:r w:rsidRPr="0095391C">
        <w:rPr>
          <w:rFonts w:ascii="Calibri" w:hAnsi="Calibri" w:cs="Calibri"/>
          <w:b/>
          <w:sz w:val="22"/>
        </w:rPr>
        <w:t>ABSTRACT</w:t>
      </w:r>
    </w:p>
    <w:p w14:paraId="21D7BAAF" w14:textId="77777777" w:rsidR="00FA7473" w:rsidRPr="0095391C" w:rsidRDefault="00FA7473" w:rsidP="00D73146">
      <w:pPr>
        <w:pStyle w:val="BodyText"/>
        <w:spacing w:beforeLines="0" w:after="0" w:line="240" w:lineRule="auto"/>
        <w:jc w:val="center"/>
        <w:rPr>
          <w:rFonts w:ascii="Calibri" w:hAnsi="Calibri" w:cs="Calibri"/>
          <w:b/>
          <w:sz w:val="22"/>
        </w:rPr>
      </w:pPr>
    </w:p>
    <w:p w14:paraId="6D83D13C" w14:textId="4FE9EF7A" w:rsidR="00BB7920" w:rsidRPr="0095391C" w:rsidRDefault="00BB7920" w:rsidP="00BB7920">
      <w:pPr>
        <w:pStyle w:val="Text"/>
        <w:spacing w:line="276" w:lineRule="auto"/>
        <w:ind w:firstLine="0"/>
        <w:rPr>
          <w:rFonts w:ascii="Calibri" w:hAnsi="Calibri" w:cs="Calibri"/>
          <w:bCs/>
          <w:sz w:val="22"/>
          <w:szCs w:val="22"/>
        </w:rPr>
      </w:pPr>
      <w:r w:rsidRPr="0095391C">
        <w:rPr>
          <w:rFonts w:asciiTheme="minorHAnsi" w:hAnsiTheme="minorHAnsi" w:cstheme="minorHAnsi"/>
          <w:sz w:val="22"/>
          <w:szCs w:val="22"/>
          <w:lang w:eastAsia="ja-JP"/>
        </w:rPr>
        <w:t>Rice husk biochar as an ameliorant can improve soil quality and long-term carbon absorption and interaction with glyphosate described in the adsorption process. The purpose of this study was to study the ability of Inceptisol and RH</w:t>
      </w:r>
      <w:r w:rsidRPr="0095391C">
        <w:rPr>
          <w:rFonts w:asciiTheme="minorHAnsi" w:hAnsiTheme="minorHAnsi" w:cstheme="minorHAnsi"/>
          <w:sz w:val="22"/>
          <w:szCs w:val="22"/>
          <w:vertAlign w:val="subscript"/>
          <w:lang w:eastAsia="ja-JP"/>
        </w:rPr>
        <w:t>B</w:t>
      </w:r>
      <w:r w:rsidRPr="0095391C">
        <w:rPr>
          <w:rFonts w:asciiTheme="minorHAnsi" w:hAnsiTheme="minorHAnsi" w:cstheme="minorHAnsi"/>
          <w:sz w:val="22"/>
          <w:szCs w:val="22"/>
          <w:lang w:eastAsia="ja-JP"/>
        </w:rPr>
        <w:t xml:space="preserve"> 40 t ha</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 xml:space="preserve"> amended Inceptisol (RH</w:t>
      </w:r>
      <w:r w:rsidRPr="0095391C">
        <w:rPr>
          <w:rFonts w:asciiTheme="minorHAnsi" w:hAnsiTheme="minorHAnsi" w:cstheme="minorHAnsi"/>
          <w:sz w:val="22"/>
          <w:szCs w:val="22"/>
          <w:vertAlign w:val="subscript"/>
          <w:lang w:eastAsia="ja-JP"/>
        </w:rPr>
        <w:t>B</w:t>
      </w:r>
      <w:r w:rsidRPr="0095391C">
        <w:rPr>
          <w:rFonts w:asciiTheme="minorHAnsi" w:hAnsiTheme="minorHAnsi" w:cstheme="minorHAnsi"/>
          <w:sz w:val="22"/>
          <w:szCs w:val="22"/>
          <w:lang w:eastAsia="ja-JP"/>
        </w:rPr>
        <w:t>/</w:t>
      </w:r>
      <w:r w:rsidR="00B51FEC" w:rsidRPr="0095391C">
        <w:rPr>
          <w:rFonts w:asciiTheme="minorHAnsi" w:hAnsiTheme="minorHAnsi" w:cstheme="minorHAnsi"/>
          <w:sz w:val="22"/>
          <w:szCs w:val="22"/>
          <w:lang w:eastAsia="ja-JP"/>
        </w:rPr>
        <w:t>Ep</w:t>
      </w:r>
      <w:r w:rsidRPr="0095391C">
        <w:rPr>
          <w:rFonts w:asciiTheme="minorHAnsi" w:hAnsiTheme="minorHAnsi" w:cstheme="minorHAnsi"/>
          <w:sz w:val="22"/>
          <w:szCs w:val="22"/>
          <w:lang w:eastAsia="ja-JP"/>
        </w:rPr>
        <w:t xml:space="preserve">t) in adsorption of glyphosate. </w:t>
      </w:r>
      <w:r w:rsidRPr="0095391C">
        <w:rPr>
          <w:rFonts w:asciiTheme="minorHAnsi" w:hAnsiTheme="minorHAnsi" w:cstheme="minorHAnsi"/>
          <w:noProof/>
          <w:sz w:val="22"/>
          <w:szCs w:val="22"/>
          <w:lang w:eastAsia="ja-JP"/>
        </w:rPr>
        <w:t>The adsorption process isotherm of glyphosate sequentially occurs in the Langmuir and Freundlich (RH</w:t>
      </w:r>
      <w:r w:rsidRPr="0095391C">
        <w:rPr>
          <w:rFonts w:asciiTheme="minorHAnsi" w:hAnsiTheme="minorHAnsi" w:cstheme="minorHAnsi"/>
          <w:noProof/>
          <w:sz w:val="22"/>
          <w:szCs w:val="22"/>
          <w:vertAlign w:val="subscript"/>
          <w:lang w:eastAsia="ja-JP"/>
        </w:rPr>
        <w:t>B</w:t>
      </w:r>
      <w:r w:rsidR="00B51FEC" w:rsidRPr="0095391C">
        <w:rPr>
          <w:rFonts w:asciiTheme="minorHAnsi" w:hAnsiTheme="minorHAnsi" w:cstheme="minorHAnsi"/>
          <w:noProof/>
          <w:sz w:val="22"/>
          <w:szCs w:val="22"/>
          <w:lang w:eastAsia="ja-JP"/>
        </w:rPr>
        <w:t>/Ept &gt; Ep</w:t>
      </w:r>
      <w:r w:rsidRPr="0095391C">
        <w:rPr>
          <w:rFonts w:asciiTheme="minorHAnsi" w:hAnsiTheme="minorHAnsi" w:cstheme="minorHAnsi"/>
          <w:noProof/>
          <w:sz w:val="22"/>
          <w:szCs w:val="22"/>
          <w:lang w:eastAsia="ja-JP"/>
        </w:rPr>
        <w:t>t) models, where the Langmuir model (R</w:t>
      </w:r>
      <w:r w:rsidRPr="0095391C">
        <w:rPr>
          <w:rFonts w:asciiTheme="minorHAnsi" w:hAnsiTheme="minorHAnsi" w:cstheme="minorHAnsi"/>
          <w:noProof/>
          <w:sz w:val="22"/>
          <w:szCs w:val="22"/>
          <w:vertAlign w:val="superscript"/>
          <w:lang w:eastAsia="ja-JP"/>
        </w:rPr>
        <w:t>2</w:t>
      </w:r>
      <w:r w:rsidRPr="0095391C">
        <w:rPr>
          <w:rFonts w:asciiTheme="minorHAnsi" w:hAnsiTheme="minorHAnsi" w:cstheme="minorHAnsi"/>
          <w:noProof/>
          <w:sz w:val="22"/>
          <w:szCs w:val="22"/>
          <w:lang w:eastAsia="ja-JP"/>
        </w:rPr>
        <w:t xml:space="preserve"> = 0.27) is dominated by the adsorption process of glyphosate on soil amelioration with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/Ent with a value of Q</w:t>
      </w:r>
      <w:r w:rsidRPr="0095391C">
        <w:rPr>
          <w:rFonts w:asciiTheme="minorHAnsi" w:hAnsiTheme="minorHAnsi" w:cstheme="minorHAnsi"/>
          <w:noProof/>
          <w:sz w:val="22"/>
          <w:szCs w:val="22"/>
          <w:vertAlign w:val="subscript"/>
          <w:lang w:eastAsia="ja-JP"/>
        </w:rPr>
        <w:t>m</w:t>
      </w:r>
      <w:r w:rsidRPr="0095391C">
        <w:rPr>
          <w:rFonts w:asciiTheme="minorHAnsi" w:hAnsiTheme="minorHAnsi" w:cstheme="minorHAnsi"/>
          <w:noProof/>
          <w:sz w:val="22"/>
          <w:szCs w:val="22"/>
          <w:lang w:eastAsia="ja-JP"/>
        </w:rPr>
        <w:t xml:space="preserve"> (0.06 mg g</w:t>
      </w:r>
      <w:r w:rsidRPr="0095391C">
        <w:rPr>
          <w:rFonts w:asciiTheme="minorHAnsi" w:hAnsiTheme="minorHAnsi" w:cstheme="minorHAnsi"/>
          <w:noProof/>
          <w:sz w:val="22"/>
          <w:szCs w:val="22"/>
          <w:vertAlign w:val="superscript"/>
          <w:lang w:eastAsia="ja-JP"/>
        </w:rPr>
        <w:t>-1</w:t>
      </w:r>
      <w:r w:rsidRPr="0095391C">
        <w:rPr>
          <w:rFonts w:asciiTheme="minorHAnsi" w:hAnsiTheme="minorHAnsi" w:cstheme="minorHAnsi"/>
          <w:noProof/>
          <w:sz w:val="22"/>
          <w:szCs w:val="22"/>
          <w:lang w:eastAsia="ja-JP"/>
        </w:rPr>
        <w:t>) and K</w:t>
      </w:r>
      <w:r w:rsidRPr="0095391C">
        <w:rPr>
          <w:rFonts w:asciiTheme="minorHAnsi" w:hAnsiTheme="minorHAnsi" w:cstheme="minorHAnsi"/>
          <w:noProof/>
          <w:sz w:val="22"/>
          <w:szCs w:val="22"/>
          <w:vertAlign w:val="subscript"/>
          <w:lang w:eastAsia="ja-JP"/>
        </w:rPr>
        <w:t>L</w:t>
      </w:r>
      <w:r w:rsidRPr="0095391C">
        <w:rPr>
          <w:rFonts w:asciiTheme="minorHAnsi" w:hAnsiTheme="minorHAnsi" w:cstheme="minorHAnsi"/>
          <w:noProof/>
          <w:sz w:val="22"/>
          <w:szCs w:val="22"/>
          <w:lang w:eastAsia="ja-JP"/>
        </w:rPr>
        <w:t xml:space="preserve"> (0.068 </w:t>
      </w:r>
      <w:r w:rsidRPr="0095391C">
        <w:rPr>
          <w:rFonts w:asciiTheme="minorHAnsi" w:hAnsiTheme="minorHAnsi" w:cstheme="minorHAnsi"/>
          <w:sz w:val="22"/>
          <w:szCs w:val="22"/>
        </w:rPr>
        <w:t>L mg</w:t>
      </w:r>
      <w:r w:rsidRPr="0095391C">
        <w:rPr>
          <w:rFonts w:asciiTheme="minorHAnsi" w:hAnsiTheme="minorHAnsi" w:cstheme="minorHAnsi"/>
          <w:sz w:val="22"/>
          <w:szCs w:val="22"/>
          <w:vertAlign w:val="superscript"/>
        </w:rPr>
        <w:t>-1</w:t>
      </w:r>
      <w:r w:rsidRPr="0095391C">
        <w:rPr>
          <w:rFonts w:asciiTheme="minorHAnsi" w:hAnsiTheme="minorHAnsi" w:cstheme="minorHAnsi"/>
          <w:noProof/>
          <w:sz w:val="22"/>
          <w:szCs w:val="22"/>
          <w:lang w:eastAsia="ja-JP"/>
        </w:rPr>
        <w:t>) at an adsorption efficiency of 86.93%, while the Freundlich model (R</w:t>
      </w:r>
      <w:r w:rsidRPr="0095391C">
        <w:rPr>
          <w:rFonts w:asciiTheme="minorHAnsi" w:hAnsiTheme="minorHAnsi" w:cstheme="minorHAnsi"/>
          <w:noProof/>
          <w:sz w:val="22"/>
          <w:szCs w:val="22"/>
          <w:vertAlign w:val="superscript"/>
          <w:lang w:eastAsia="ja-JP"/>
        </w:rPr>
        <w:t>2</w:t>
      </w:r>
      <w:r w:rsidRPr="0095391C">
        <w:rPr>
          <w:rFonts w:asciiTheme="minorHAnsi" w:hAnsiTheme="minorHAnsi" w:cstheme="minorHAnsi"/>
          <w:noProof/>
          <w:sz w:val="22"/>
          <w:szCs w:val="22"/>
          <w:lang w:eastAsia="ja-JP"/>
        </w:rPr>
        <w:t xml:space="preserve"> = 0.25) with a value of n (1.00) and K</w:t>
      </w:r>
      <w:r w:rsidRPr="0095391C">
        <w:rPr>
          <w:rFonts w:asciiTheme="minorHAnsi" w:hAnsiTheme="minorHAnsi" w:cstheme="minorHAnsi"/>
          <w:noProof/>
          <w:sz w:val="22"/>
          <w:szCs w:val="22"/>
          <w:vertAlign w:val="subscript"/>
          <w:lang w:eastAsia="ja-JP"/>
        </w:rPr>
        <w:t>F</w:t>
      </w:r>
      <w:r w:rsidRPr="0095391C">
        <w:rPr>
          <w:rFonts w:asciiTheme="minorHAnsi" w:hAnsiTheme="minorHAnsi" w:cstheme="minorHAnsi"/>
          <w:noProof/>
          <w:sz w:val="22"/>
          <w:szCs w:val="22"/>
          <w:lang w:eastAsia="ja-JP"/>
        </w:rPr>
        <w:t xml:space="preserve"> [</w:t>
      </w:r>
      <w:r w:rsidRPr="0095391C">
        <w:rPr>
          <w:rFonts w:asciiTheme="minorHAnsi" w:hAnsiTheme="minorHAnsi" w:cstheme="minorHAnsi"/>
          <w:sz w:val="22"/>
          <w:szCs w:val="22"/>
        </w:rPr>
        <w:t>42.94</w:t>
      </w:r>
      <w:r w:rsidRPr="0095391C">
        <w:rPr>
          <w:rFonts w:asciiTheme="minorHAnsi" w:hAnsiTheme="minorHAnsi" w:cstheme="minorHAnsi"/>
          <w:noProof/>
          <w:sz w:val="22"/>
          <w:szCs w:val="22"/>
          <w:lang w:eastAsia="ja-JP"/>
        </w:rPr>
        <w:t xml:space="preserve"> (</w:t>
      </w:r>
      <w:r w:rsidRPr="0095391C">
        <w:rPr>
          <w:rFonts w:asciiTheme="minorHAnsi" w:hAnsiTheme="minorHAnsi" w:cstheme="minorHAnsi"/>
          <w:sz w:val="22"/>
          <w:szCs w:val="22"/>
        </w:rPr>
        <w:t>mg g</w:t>
      </w:r>
      <w:r w:rsidRPr="0095391C">
        <w:rPr>
          <w:rFonts w:asciiTheme="minorHAnsi" w:hAnsiTheme="minorHAnsi" w:cstheme="minorHAnsi"/>
          <w:sz w:val="22"/>
          <w:szCs w:val="22"/>
          <w:vertAlign w:val="superscript"/>
        </w:rPr>
        <w:t xml:space="preserve">-1 </w:t>
      </w:r>
      <w:r w:rsidRPr="0095391C">
        <w:rPr>
          <w:rFonts w:asciiTheme="minorHAnsi" w:hAnsiTheme="minorHAnsi" w:cstheme="minorHAnsi"/>
          <w:sz w:val="22"/>
          <w:szCs w:val="22"/>
        </w:rPr>
        <w:t>L mg</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w:t>
      </w:r>
      <w:r w:rsidRPr="0095391C">
        <w:rPr>
          <w:rFonts w:asciiTheme="minorHAnsi" w:hAnsiTheme="minorHAnsi" w:cstheme="minorHAnsi"/>
          <w:sz w:val="22"/>
          <w:szCs w:val="22"/>
          <w:vertAlign w:val="superscript"/>
        </w:rPr>
        <w:t>1/n</w:t>
      </w:r>
      <w:r w:rsidRPr="0095391C">
        <w:rPr>
          <w:rFonts w:asciiTheme="minorHAnsi" w:hAnsiTheme="minorHAnsi" w:cstheme="minorHAnsi"/>
          <w:sz w:val="22"/>
          <w:szCs w:val="22"/>
        </w:rPr>
        <w:t>]</w:t>
      </w:r>
      <w:r w:rsidRPr="0095391C">
        <w:rPr>
          <w:rFonts w:asciiTheme="minorHAnsi" w:hAnsiTheme="minorHAnsi" w:cstheme="minorHAnsi"/>
          <w:noProof/>
          <w:sz w:val="22"/>
          <w:szCs w:val="22"/>
          <w:lang w:eastAsia="ja-JP"/>
        </w:rPr>
        <w:t xml:space="preserve"> at an adsorption efficiency of 86.93% at a concentration level of 100 ppm and pH 5.20 units. The adsorption process of glyphosate was strongly supported by the charge activity and the number of pores on the surface of each adsorbent, where the FT-IR showed a decrease in transmittance in the O-H; C=C; C-O; C-H and minerals group that explain the absorption capacity during the adsorption process of glyphosate. Inceptisols ameliorated with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/Ent showed an increase in charge activity of 0.15 (ΔpH), where the charge activity was supported by an increase in pH H</w:t>
      </w:r>
      <w:r w:rsidRPr="0095391C">
        <w:rPr>
          <w:rFonts w:asciiTheme="minorHAnsi" w:hAnsiTheme="minorHAnsi" w:cstheme="minorHAnsi"/>
          <w:noProof/>
          <w:sz w:val="22"/>
          <w:szCs w:val="22"/>
          <w:vertAlign w:val="subscript"/>
          <w:lang w:eastAsia="ja-JP"/>
        </w:rPr>
        <w:t>2</w:t>
      </w:r>
      <w:r w:rsidR="00B51FEC" w:rsidRPr="0095391C">
        <w:rPr>
          <w:rFonts w:asciiTheme="minorHAnsi" w:hAnsiTheme="minorHAnsi" w:cstheme="minorHAnsi"/>
          <w:noProof/>
          <w:sz w:val="22"/>
          <w:szCs w:val="22"/>
          <w:lang w:eastAsia="ja-JP"/>
        </w:rPr>
        <w:t>O, EC, CEC, SOM/</w:t>
      </w:r>
      <w:r w:rsidRPr="0095391C">
        <w:rPr>
          <w:rFonts w:asciiTheme="minorHAnsi" w:hAnsiTheme="minorHAnsi" w:cstheme="minorHAnsi"/>
          <w:noProof/>
          <w:sz w:val="22"/>
          <w:szCs w:val="22"/>
          <w:lang w:eastAsia="ja-JP"/>
        </w:rPr>
        <w:t>C</w:t>
      </w:r>
      <w:r w:rsidRPr="0095391C">
        <w:rPr>
          <w:rFonts w:asciiTheme="minorHAnsi" w:hAnsiTheme="minorHAnsi" w:cstheme="minorHAnsi"/>
          <w:noProof/>
          <w:sz w:val="22"/>
          <w:szCs w:val="22"/>
          <w:vertAlign w:val="subscript"/>
          <w:lang w:eastAsia="ja-JP"/>
        </w:rPr>
        <w:t>Org</w:t>
      </w:r>
      <w:r w:rsidRPr="0095391C">
        <w:rPr>
          <w:rFonts w:asciiTheme="minorHAnsi" w:hAnsiTheme="minorHAnsi" w:cstheme="minorHAnsi"/>
          <w:noProof/>
          <w:sz w:val="22"/>
          <w:szCs w:val="22"/>
          <w:lang w:eastAsia="ja-JP"/>
        </w:rPr>
        <w:t>, The effect of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 xml:space="preserve"> </w:t>
      </w:r>
      <w:r w:rsidRPr="0095391C">
        <w:rPr>
          <w:rFonts w:asciiTheme="minorHAnsi" w:hAnsiTheme="minorHAnsi" w:cstheme="minorHAnsi"/>
          <w:sz w:val="22"/>
          <w:szCs w:val="22"/>
          <w:lang w:eastAsia="ja-JP"/>
        </w:rPr>
        <w:t xml:space="preserve">as an ameliorant </w:t>
      </w:r>
      <w:r w:rsidRPr="0095391C">
        <w:rPr>
          <w:rFonts w:asciiTheme="minorHAnsi" w:hAnsiTheme="minorHAnsi" w:cstheme="minorHAnsi"/>
          <w:noProof/>
          <w:sz w:val="22"/>
          <w:szCs w:val="22"/>
          <w:lang w:eastAsia="ja-JP"/>
        </w:rPr>
        <w:t>on glyphosate absorption depends on the phys</w:t>
      </w:r>
      <w:r w:rsidR="00B51FEC" w:rsidRPr="0095391C">
        <w:rPr>
          <w:rFonts w:asciiTheme="minorHAnsi" w:hAnsiTheme="minorHAnsi" w:cstheme="minorHAnsi"/>
          <w:noProof/>
          <w:sz w:val="22"/>
          <w:szCs w:val="22"/>
          <w:lang w:eastAsia="ja-JP"/>
        </w:rPr>
        <w:t>icochemical properties of Inceptisols</w:t>
      </w:r>
      <w:r w:rsidRPr="0095391C">
        <w:rPr>
          <w:rFonts w:asciiTheme="minorHAnsi" w:hAnsiTheme="minorHAnsi" w:cstheme="minorHAnsi"/>
          <w:noProof/>
          <w:sz w:val="22"/>
          <w:szCs w:val="22"/>
          <w:lang w:eastAsia="ja-JP"/>
        </w:rPr>
        <w:t>.</w:t>
      </w:r>
    </w:p>
    <w:p w14:paraId="604F96A3" w14:textId="77777777" w:rsidR="00FA7473" w:rsidRPr="0095391C" w:rsidRDefault="00FA7473" w:rsidP="004A6FA1">
      <w:pPr>
        <w:spacing w:before="0" w:line="276" w:lineRule="auto"/>
        <w:rPr>
          <w:rFonts w:cs="Calibri"/>
          <w:b/>
          <w:sz w:val="20"/>
          <w:szCs w:val="20"/>
        </w:rPr>
      </w:pPr>
    </w:p>
    <w:p w14:paraId="6852D7EF" w14:textId="09FB7F41" w:rsidR="00FA7473" w:rsidRPr="0095391C" w:rsidRDefault="00FA7473" w:rsidP="004A6FA1">
      <w:pPr>
        <w:spacing w:before="0" w:line="276" w:lineRule="auto"/>
        <w:rPr>
          <w:rFonts w:cs="Calibri"/>
        </w:rPr>
      </w:pPr>
      <w:r w:rsidRPr="0095391C">
        <w:rPr>
          <w:rFonts w:cs="Calibri"/>
          <w:b/>
        </w:rPr>
        <w:t xml:space="preserve">Keywords: </w:t>
      </w:r>
      <w:r w:rsidR="00BB7920" w:rsidRPr="0095391C">
        <w:rPr>
          <w:iCs/>
        </w:rPr>
        <w:t xml:space="preserve">Adsorption, Biochar, </w:t>
      </w:r>
      <w:r w:rsidR="00BB7920" w:rsidRPr="0095391C">
        <w:rPr>
          <w:lang w:eastAsia="ja-JP"/>
        </w:rPr>
        <w:t>Inceptisols, Glyphosate, Rice Husk</w:t>
      </w:r>
    </w:p>
    <w:p w14:paraId="4D32DB2B" w14:textId="77777777" w:rsidR="00FA7473" w:rsidRPr="0095391C" w:rsidRDefault="00FA7473" w:rsidP="00D73146">
      <w:pPr>
        <w:pStyle w:val="BodyText"/>
        <w:spacing w:beforeLines="0" w:after="0" w:line="240" w:lineRule="auto"/>
        <w:rPr>
          <w:rFonts w:ascii="Calibri" w:hAnsi="Calibri" w:cs="Calibri"/>
          <w:b/>
          <w:szCs w:val="20"/>
        </w:rPr>
      </w:pPr>
    </w:p>
    <w:p w14:paraId="330ED750" w14:textId="77777777" w:rsidR="00FA7473" w:rsidRPr="0095391C" w:rsidRDefault="00FA7473" w:rsidP="004A6FA1">
      <w:pPr>
        <w:pStyle w:val="BodyText"/>
        <w:spacing w:beforeLines="0" w:after="0" w:line="276" w:lineRule="auto"/>
        <w:rPr>
          <w:rFonts w:ascii="Calibri" w:hAnsi="Calibri" w:cs="Calibri"/>
          <w:b/>
          <w:sz w:val="22"/>
        </w:rPr>
      </w:pPr>
      <w:r w:rsidRPr="0095391C">
        <w:rPr>
          <w:rFonts w:ascii="Calibri" w:hAnsi="Calibri" w:cs="Calibri"/>
          <w:b/>
          <w:sz w:val="22"/>
        </w:rPr>
        <w:t>INTRODUCTION</w:t>
      </w:r>
    </w:p>
    <w:p w14:paraId="5D0D8F0F" w14:textId="77777777" w:rsidR="005C2D37" w:rsidRPr="0095391C" w:rsidRDefault="005C2D37" w:rsidP="00637F64">
      <w:pPr>
        <w:pStyle w:val="BodyText2"/>
        <w:tabs>
          <w:tab w:val="left" w:pos="720"/>
        </w:tabs>
        <w:spacing w:before="0" w:after="0" w:line="276" w:lineRule="auto"/>
        <w:jc w:val="both"/>
        <w:rPr>
          <w:rFonts w:asciiTheme="minorHAnsi" w:hAnsiTheme="minorHAnsi" w:cstheme="minorHAnsi"/>
          <w:bCs/>
          <w:sz w:val="22"/>
          <w:szCs w:val="22"/>
        </w:rPr>
      </w:pPr>
      <w:r w:rsidRPr="0095391C">
        <w:rPr>
          <w:rFonts w:asciiTheme="minorHAnsi" w:hAnsiTheme="minorHAnsi" w:cstheme="minorHAnsi"/>
          <w:bCs/>
          <w:sz w:val="22"/>
          <w:szCs w:val="22"/>
        </w:rPr>
        <w:t>Environmental contamination causes a reduction in soil quality by affecting the bio-physicochemical characteristics of the soil system. The existence of xenobiotic chemicals in soil bodies as pollutants is caused by various actions of farmers with excessive concentrations that are not within their normal values. The major cause of expanding urbanization of pollutant compounds that should be accountable for pollution of water bodies - soils by xenobiotic compounds that are extensively distributed to the environment, including pesticides and other chemicals (Varjani et al., 2019).</w:t>
      </w:r>
    </w:p>
    <w:p w14:paraId="04B7AB0C" w14:textId="57B60F08" w:rsidR="002C244B" w:rsidRPr="0095391C" w:rsidRDefault="002C244B" w:rsidP="00637F64">
      <w:pPr>
        <w:pStyle w:val="BodyText2"/>
        <w:tabs>
          <w:tab w:val="left" w:pos="720"/>
        </w:tabs>
        <w:spacing w:before="0" w:after="0" w:line="276" w:lineRule="auto"/>
        <w:jc w:val="both"/>
        <w:rPr>
          <w:rFonts w:asciiTheme="minorHAnsi" w:hAnsiTheme="minorHAnsi" w:cstheme="minorHAnsi"/>
          <w:bCs/>
          <w:sz w:val="22"/>
          <w:szCs w:val="22"/>
        </w:rPr>
      </w:pPr>
      <w:r w:rsidRPr="0095391C">
        <w:rPr>
          <w:rFonts w:asciiTheme="minorHAnsi" w:hAnsiTheme="minorHAnsi" w:cstheme="minorHAnsi"/>
          <w:bCs/>
          <w:sz w:val="22"/>
          <w:szCs w:val="22"/>
        </w:rPr>
        <w:t>Pesticides and other xenobiotic substances have been and will continue to be used to manage plant-disturbing organisms such as insects, weeds, and diseases in a variety of agricultural operations. Improper usage as indicated by the manufacturer has a greater impact on non-target species via direct and indirect exposure. Around 2 million tonnes of pesticides are used globally, accounting for 65 percent of the pesticide market (De et al., 2014), with herbicides dominating the global market. Glyphosate (N-(phosphonomethyl)-glycine) as the active ingredient of herbicide is one that farmers frequently employ in agricultural operations (Fig. 1). The annual global usage of glyphosate is estimated to be 600-750 thousand tons, with a projected increase to 740-920 thousand tons by 2025 (Maggi et al., 2020; Caceres-Jensen et al., 2019).</w:t>
      </w:r>
    </w:p>
    <w:p w14:paraId="34355C63" w14:textId="4ADE8CE0" w:rsidR="00637F64" w:rsidRPr="0095391C" w:rsidRDefault="002C244B" w:rsidP="00637F64">
      <w:pPr>
        <w:pStyle w:val="BodyText2"/>
        <w:tabs>
          <w:tab w:val="left" w:pos="720"/>
        </w:tabs>
        <w:spacing w:before="0" w:after="0" w:line="276" w:lineRule="auto"/>
        <w:jc w:val="both"/>
        <w:rPr>
          <w:rFonts w:asciiTheme="minorHAnsi" w:hAnsiTheme="minorHAnsi" w:cstheme="minorHAnsi"/>
          <w:bCs/>
          <w:sz w:val="22"/>
          <w:szCs w:val="22"/>
        </w:rPr>
      </w:pPr>
      <w:r w:rsidRPr="0095391C">
        <w:rPr>
          <w:rFonts w:asciiTheme="minorHAnsi" w:hAnsiTheme="minorHAnsi" w:cstheme="minorHAnsi"/>
          <w:bCs/>
          <w:sz w:val="22"/>
          <w:szCs w:val="22"/>
        </w:rPr>
        <w:t xml:space="preserve">The World Health Organization (WHO) has identified the teratogenicity of glyphosate chemicals in cultivated plants and people as a probable type of carcinogen development by application and metabolite ingestion (Tsamo et al., 2019; Flores et al., 2018). Glyphosate is extremely harmful, it must be removed from the water-soil system as soon as possible. Chemical oxidation, electrolysis, </w:t>
      </w:r>
      <w:r w:rsidRPr="0095391C">
        <w:rPr>
          <w:rFonts w:asciiTheme="minorHAnsi" w:hAnsiTheme="minorHAnsi" w:cstheme="minorHAnsi"/>
          <w:bCs/>
          <w:sz w:val="22"/>
          <w:szCs w:val="22"/>
        </w:rPr>
        <w:lastRenderedPageBreak/>
        <w:t xml:space="preserve">biochemistry, adsorption, evaporation, and other standard procedures are presently employed to remove glyphosate from soil. It should be noted, however, that it must be based on an applicable and cost-effective of adsorption, where adsorption has the potential to remove all types of pollutants at any concentration and, most importantly, utilizing local waste such as rice husks as an ameliorant in the form of biochar for the adsorption process.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1"/>
      </w:tblGrid>
      <w:tr w:rsidR="00BB7920" w:rsidRPr="0095391C" w14:paraId="25E27BEF" w14:textId="77777777" w:rsidTr="009D6F11">
        <w:tc>
          <w:tcPr>
            <w:tcW w:w="6551" w:type="dxa"/>
            <w:hideMark/>
          </w:tcPr>
          <w:p w14:paraId="787E71D9" w14:textId="7BEE5089" w:rsidR="00BB7920" w:rsidRPr="0095391C" w:rsidRDefault="00BB7920" w:rsidP="009D6F11">
            <w:pPr>
              <w:pStyle w:val="BodyText2"/>
              <w:tabs>
                <w:tab w:val="left" w:pos="720"/>
              </w:tabs>
              <w:spacing w:after="0" w:line="240" w:lineRule="auto"/>
              <w:rPr>
                <w:rFonts w:asciiTheme="minorHAnsi" w:hAnsiTheme="minorHAnsi" w:cstheme="minorHAnsi"/>
                <w:sz w:val="22"/>
                <w:szCs w:val="22"/>
                <w:lang w:eastAsia="ja-JP"/>
              </w:rPr>
            </w:pPr>
            <w:r w:rsidRPr="0095391C">
              <w:rPr>
                <w:rFonts w:asciiTheme="minorHAnsi" w:hAnsiTheme="minorHAnsi" w:cstheme="minorHAnsi"/>
                <w:noProof/>
                <w:sz w:val="22"/>
                <w:szCs w:val="22"/>
                <w:lang w:eastAsia="en-US"/>
              </w:rPr>
              <w:drawing>
                <wp:inline distT="0" distB="0" distL="0" distR="0" wp14:anchorId="4C49B29F" wp14:editId="3ABCE75C">
                  <wp:extent cx="3353026" cy="17240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4">
                            <a:extLst>
                              <a:ext uri="{28A0092B-C50C-407E-A947-70E740481C1C}">
                                <a14:useLocalDpi xmlns:a14="http://schemas.microsoft.com/office/drawing/2010/main" val="0"/>
                              </a:ext>
                            </a:extLst>
                          </a:blip>
                          <a:srcRect l="32133" t="39665" r="44044" b="38654"/>
                          <a:stretch>
                            <a:fillRect/>
                          </a:stretch>
                        </pic:blipFill>
                        <pic:spPr bwMode="auto">
                          <a:xfrm>
                            <a:off x="0" y="0"/>
                            <a:ext cx="3353026" cy="1724025"/>
                          </a:xfrm>
                          <a:prstGeom prst="rect">
                            <a:avLst/>
                          </a:prstGeom>
                          <a:noFill/>
                          <a:ln>
                            <a:noFill/>
                          </a:ln>
                        </pic:spPr>
                      </pic:pic>
                    </a:graphicData>
                  </a:graphic>
                </wp:inline>
              </w:drawing>
            </w:r>
          </w:p>
        </w:tc>
      </w:tr>
      <w:tr w:rsidR="00BB7920" w:rsidRPr="0095391C" w14:paraId="3156F931" w14:textId="77777777" w:rsidTr="009D6F11">
        <w:tc>
          <w:tcPr>
            <w:tcW w:w="6551" w:type="dxa"/>
            <w:hideMark/>
          </w:tcPr>
          <w:p w14:paraId="7CB93B17" w14:textId="77777777" w:rsidR="00BB7920" w:rsidRPr="0095391C" w:rsidRDefault="00BB7920" w:rsidP="009D6F11">
            <w:pPr>
              <w:pStyle w:val="BodyText2"/>
              <w:tabs>
                <w:tab w:val="left" w:pos="720"/>
              </w:tabs>
              <w:spacing w:before="0" w:after="0" w:line="240" w:lineRule="auto"/>
              <w:jc w:val="left"/>
              <w:rPr>
                <w:rFonts w:asciiTheme="minorHAnsi" w:hAnsiTheme="minorHAnsi" w:cstheme="minorHAnsi"/>
                <w:bCs/>
                <w:color w:val="0D0D0D" w:themeColor="text1" w:themeTint="F2"/>
                <w:sz w:val="16"/>
                <w:szCs w:val="16"/>
                <w:shd w:val="clear" w:color="auto" w:fill="FFFFFF"/>
                <w:lang w:eastAsia="ja-JP"/>
              </w:rPr>
            </w:pPr>
            <w:r w:rsidRPr="0095391C">
              <w:rPr>
                <w:rFonts w:asciiTheme="minorHAnsi" w:hAnsiTheme="minorHAnsi" w:cstheme="minorHAnsi"/>
                <w:bCs/>
                <w:color w:val="0D0D0D" w:themeColor="text1" w:themeTint="F2"/>
                <w:sz w:val="16"/>
                <w:szCs w:val="16"/>
                <w:lang w:eastAsia="ja-JP"/>
              </w:rPr>
              <w:t xml:space="preserve">Molecular formula: </w:t>
            </w:r>
            <w:hyperlink r:id="rId15" w:anchor="query=C3H8NO5P" w:tooltip="Find all compounds that have this formula" w:history="1">
              <w:r w:rsidRPr="0095391C">
                <w:rPr>
                  <w:rStyle w:val="Hyperlink"/>
                  <w:rFonts w:asciiTheme="minorHAnsi" w:hAnsiTheme="minorHAnsi" w:cstheme="minorHAnsi"/>
                  <w:color w:val="0D0D0D" w:themeColor="text1" w:themeTint="F2"/>
                  <w:sz w:val="16"/>
                  <w:szCs w:val="16"/>
                  <w:u w:val="none"/>
                  <w:shd w:val="clear" w:color="auto" w:fill="FFFFFF"/>
                  <w:lang w:eastAsia="ja-JP"/>
                </w:rPr>
                <w:t>C</w:t>
              </w:r>
              <w:r w:rsidRPr="0095391C">
                <w:rPr>
                  <w:rStyle w:val="Hyperlink"/>
                  <w:rFonts w:asciiTheme="minorHAnsi" w:hAnsiTheme="minorHAnsi" w:cstheme="minorHAnsi"/>
                  <w:color w:val="0D0D0D" w:themeColor="text1" w:themeTint="F2"/>
                  <w:sz w:val="16"/>
                  <w:szCs w:val="16"/>
                  <w:u w:val="none"/>
                  <w:shd w:val="clear" w:color="auto" w:fill="FFFFFF"/>
                  <w:vertAlign w:val="subscript"/>
                  <w:lang w:eastAsia="ja-JP"/>
                </w:rPr>
                <w:t>3</w:t>
              </w:r>
              <w:r w:rsidRPr="0095391C">
                <w:rPr>
                  <w:rStyle w:val="Hyperlink"/>
                  <w:rFonts w:asciiTheme="minorHAnsi" w:hAnsiTheme="minorHAnsi" w:cstheme="minorHAnsi"/>
                  <w:color w:val="0D0D0D" w:themeColor="text1" w:themeTint="F2"/>
                  <w:sz w:val="16"/>
                  <w:szCs w:val="16"/>
                  <w:u w:val="none"/>
                  <w:shd w:val="clear" w:color="auto" w:fill="FFFFFF"/>
                  <w:lang w:eastAsia="ja-JP"/>
                </w:rPr>
                <w:t>H</w:t>
              </w:r>
              <w:r w:rsidRPr="0095391C">
                <w:rPr>
                  <w:rStyle w:val="Hyperlink"/>
                  <w:rFonts w:asciiTheme="minorHAnsi" w:hAnsiTheme="minorHAnsi" w:cstheme="minorHAnsi"/>
                  <w:color w:val="0D0D0D" w:themeColor="text1" w:themeTint="F2"/>
                  <w:sz w:val="16"/>
                  <w:szCs w:val="16"/>
                  <w:u w:val="none"/>
                  <w:shd w:val="clear" w:color="auto" w:fill="FFFFFF"/>
                  <w:vertAlign w:val="subscript"/>
                  <w:lang w:eastAsia="ja-JP"/>
                </w:rPr>
                <w:t>8</w:t>
              </w:r>
              <w:r w:rsidRPr="0095391C">
                <w:rPr>
                  <w:rStyle w:val="Hyperlink"/>
                  <w:rFonts w:asciiTheme="minorHAnsi" w:hAnsiTheme="minorHAnsi" w:cstheme="minorHAnsi"/>
                  <w:color w:val="0D0D0D" w:themeColor="text1" w:themeTint="F2"/>
                  <w:sz w:val="16"/>
                  <w:szCs w:val="16"/>
                  <w:u w:val="none"/>
                  <w:shd w:val="clear" w:color="auto" w:fill="FFFFFF"/>
                  <w:lang w:eastAsia="ja-JP"/>
                </w:rPr>
                <w:t>NO</w:t>
              </w:r>
              <w:r w:rsidRPr="0095391C">
                <w:rPr>
                  <w:rStyle w:val="Hyperlink"/>
                  <w:rFonts w:asciiTheme="minorHAnsi" w:hAnsiTheme="minorHAnsi" w:cstheme="minorHAnsi"/>
                  <w:color w:val="0D0D0D" w:themeColor="text1" w:themeTint="F2"/>
                  <w:sz w:val="16"/>
                  <w:szCs w:val="16"/>
                  <w:u w:val="none"/>
                  <w:shd w:val="clear" w:color="auto" w:fill="FFFFFF"/>
                  <w:vertAlign w:val="subscript"/>
                  <w:lang w:eastAsia="ja-JP"/>
                </w:rPr>
                <w:t>5</w:t>
              </w:r>
              <w:r w:rsidRPr="0095391C">
                <w:rPr>
                  <w:rStyle w:val="Hyperlink"/>
                  <w:rFonts w:asciiTheme="minorHAnsi" w:hAnsiTheme="minorHAnsi" w:cstheme="minorHAnsi"/>
                  <w:color w:val="0D0D0D" w:themeColor="text1" w:themeTint="F2"/>
                  <w:sz w:val="16"/>
                  <w:szCs w:val="16"/>
                  <w:u w:val="none"/>
                  <w:shd w:val="clear" w:color="auto" w:fill="FFFFFF"/>
                  <w:lang w:eastAsia="ja-JP"/>
                </w:rPr>
                <w:t>P</w:t>
              </w:r>
            </w:hyperlink>
            <w:r w:rsidRPr="0095391C">
              <w:rPr>
                <w:rFonts w:asciiTheme="minorHAnsi" w:hAnsiTheme="minorHAnsi" w:cstheme="minorHAnsi"/>
                <w:color w:val="0D0D0D" w:themeColor="text1" w:themeTint="F2"/>
                <w:sz w:val="16"/>
                <w:szCs w:val="16"/>
                <w:shd w:val="clear" w:color="auto" w:fill="FFFFFF"/>
                <w:lang w:eastAsia="ja-JP"/>
              </w:rPr>
              <w:t> or HOOCCH</w:t>
            </w:r>
            <w:r w:rsidRPr="0095391C">
              <w:rPr>
                <w:rFonts w:asciiTheme="minorHAnsi" w:hAnsiTheme="minorHAnsi" w:cstheme="minorHAnsi"/>
                <w:color w:val="0D0D0D" w:themeColor="text1" w:themeTint="F2"/>
                <w:sz w:val="16"/>
                <w:szCs w:val="16"/>
                <w:shd w:val="clear" w:color="auto" w:fill="FFFFFF"/>
                <w:vertAlign w:val="subscript"/>
                <w:lang w:eastAsia="ja-JP"/>
              </w:rPr>
              <w:t>2</w:t>
            </w:r>
            <w:r w:rsidRPr="0095391C">
              <w:rPr>
                <w:rFonts w:asciiTheme="minorHAnsi" w:hAnsiTheme="minorHAnsi" w:cstheme="minorHAnsi"/>
                <w:color w:val="0D0D0D" w:themeColor="text1" w:themeTint="F2"/>
                <w:sz w:val="16"/>
                <w:szCs w:val="16"/>
                <w:shd w:val="clear" w:color="auto" w:fill="FFFFFF"/>
                <w:lang w:eastAsia="ja-JP"/>
              </w:rPr>
              <w:t>NHCH</w:t>
            </w:r>
            <w:r w:rsidRPr="0095391C">
              <w:rPr>
                <w:rFonts w:asciiTheme="minorHAnsi" w:hAnsiTheme="minorHAnsi" w:cstheme="minorHAnsi"/>
                <w:color w:val="0D0D0D" w:themeColor="text1" w:themeTint="F2"/>
                <w:sz w:val="16"/>
                <w:szCs w:val="16"/>
                <w:shd w:val="clear" w:color="auto" w:fill="FFFFFF"/>
                <w:vertAlign w:val="subscript"/>
                <w:lang w:eastAsia="ja-JP"/>
              </w:rPr>
              <w:t>2</w:t>
            </w:r>
            <w:r w:rsidRPr="0095391C">
              <w:rPr>
                <w:rFonts w:asciiTheme="minorHAnsi" w:hAnsiTheme="minorHAnsi" w:cstheme="minorHAnsi"/>
                <w:color w:val="0D0D0D" w:themeColor="text1" w:themeTint="F2"/>
                <w:sz w:val="16"/>
                <w:szCs w:val="16"/>
                <w:shd w:val="clear" w:color="auto" w:fill="FFFFFF"/>
                <w:lang w:eastAsia="ja-JP"/>
              </w:rPr>
              <w:t>PO(OH)</w:t>
            </w:r>
            <w:r w:rsidRPr="0095391C">
              <w:rPr>
                <w:rFonts w:asciiTheme="minorHAnsi" w:hAnsiTheme="minorHAnsi" w:cstheme="minorHAnsi"/>
                <w:color w:val="0D0D0D" w:themeColor="text1" w:themeTint="F2"/>
                <w:sz w:val="16"/>
                <w:szCs w:val="16"/>
                <w:shd w:val="clear" w:color="auto" w:fill="FFFFFF"/>
                <w:vertAlign w:val="subscript"/>
                <w:lang w:eastAsia="ja-JP"/>
              </w:rPr>
              <w:t>2</w:t>
            </w:r>
          </w:p>
          <w:p w14:paraId="691CD531" w14:textId="77777777" w:rsidR="00BB7920" w:rsidRPr="0095391C" w:rsidRDefault="00BB7920" w:rsidP="009D6F11">
            <w:pPr>
              <w:pStyle w:val="BodyText2"/>
              <w:tabs>
                <w:tab w:val="left" w:pos="720"/>
              </w:tabs>
              <w:spacing w:before="0" w:after="0" w:line="240" w:lineRule="auto"/>
              <w:jc w:val="left"/>
              <w:rPr>
                <w:rFonts w:asciiTheme="minorHAnsi" w:hAnsiTheme="minorHAnsi" w:cstheme="minorHAnsi"/>
                <w:color w:val="212121"/>
                <w:sz w:val="16"/>
                <w:szCs w:val="16"/>
                <w:shd w:val="clear" w:color="auto" w:fill="FFFFFF"/>
                <w:vertAlign w:val="superscript"/>
                <w:lang w:eastAsia="ja-JP"/>
              </w:rPr>
            </w:pPr>
            <w:r w:rsidRPr="0095391C">
              <w:rPr>
                <w:rFonts w:asciiTheme="minorHAnsi" w:hAnsiTheme="minorHAnsi" w:cstheme="minorHAnsi"/>
                <w:bCs/>
                <w:color w:val="0D0D0D" w:themeColor="text1" w:themeTint="F2"/>
                <w:sz w:val="16"/>
                <w:szCs w:val="16"/>
                <w:shd w:val="clear" w:color="auto" w:fill="FFFFFF"/>
                <w:lang w:eastAsia="ja-JP"/>
              </w:rPr>
              <w:t xml:space="preserve">Molecular Weight: </w:t>
            </w:r>
            <w:r w:rsidRPr="0095391C">
              <w:rPr>
                <w:rFonts w:asciiTheme="minorHAnsi" w:hAnsiTheme="minorHAnsi" w:cstheme="minorHAnsi"/>
                <w:color w:val="212121"/>
                <w:sz w:val="16"/>
                <w:szCs w:val="16"/>
                <w:shd w:val="clear" w:color="auto" w:fill="FFFFFF"/>
                <w:lang w:eastAsia="ja-JP"/>
              </w:rPr>
              <w:t>169.07 g mol</w:t>
            </w:r>
            <w:r w:rsidRPr="0095391C">
              <w:rPr>
                <w:rFonts w:asciiTheme="minorHAnsi" w:hAnsiTheme="minorHAnsi" w:cstheme="minorHAnsi"/>
                <w:color w:val="212121"/>
                <w:sz w:val="16"/>
                <w:szCs w:val="16"/>
                <w:shd w:val="clear" w:color="auto" w:fill="FFFFFF"/>
                <w:vertAlign w:val="superscript"/>
                <w:lang w:eastAsia="ja-JP"/>
              </w:rPr>
              <w:t>-1</w:t>
            </w:r>
          </w:p>
          <w:p w14:paraId="122BB1F7" w14:textId="77777777" w:rsidR="00BB7920" w:rsidRPr="0095391C" w:rsidRDefault="00BB7920" w:rsidP="009D6F11">
            <w:pPr>
              <w:pStyle w:val="BodyText2"/>
              <w:tabs>
                <w:tab w:val="left" w:pos="720"/>
              </w:tabs>
              <w:spacing w:before="0" w:after="0" w:line="240" w:lineRule="auto"/>
              <w:jc w:val="left"/>
              <w:rPr>
                <w:rFonts w:asciiTheme="minorHAnsi" w:hAnsiTheme="minorHAnsi" w:cstheme="minorHAnsi"/>
                <w:bCs/>
                <w:color w:val="212121"/>
                <w:sz w:val="22"/>
                <w:szCs w:val="22"/>
                <w:shd w:val="clear" w:color="auto" w:fill="FFFFFF"/>
                <w:lang w:eastAsia="ja-JP"/>
              </w:rPr>
            </w:pPr>
            <w:r w:rsidRPr="0095391C">
              <w:rPr>
                <w:rFonts w:asciiTheme="minorHAnsi" w:hAnsiTheme="minorHAnsi" w:cstheme="minorHAnsi"/>
                <w:color w:val="212121"/>
                <w:sz w:val="16"/>
                <w:szCs w:val="16"/>
                <w:shd w:val="clear" w:color="auto" w:fill="FFFFFF"/>
                <w:lang w:eastAsia="ja-JP"/>
              </w:rPr>
              <w:t xml:space="preserve">Topological Polar Surface Area: 107 </w:t>
            </w:r>
            <w:r w:rsidRPr="0095391C">
              <w:rPr>
                <w:rFonts w:ascii="Cambria Math" w:hAnsi="Cambria Math" w:cs="Cambria Math"/>
                <w:color w:val="212121"/>
                <w:sz w:val="16"/>
                <w:szCs w:val="16"/>
                <w:shd w:val="clear" w:color="auto" w:fill="FFFFFF"/>
                <w:lang w:eastAsia="ja-JP"/>
              </w:rPr>
              <w:t>Å</w:t>
            </w:r>
            <w:r w:rsidRPr="0095391C">
              <w:rPr>
                <w:rFonts w:ascii="Calibri" w:hAnsi="Calibri" w:cs="Calibri"/>
                <w:color w:val="212121"/>
                <w:sz w:val="16"/>
                <w:szCs w:val="16"/>
                <w:shd w:val="clear" w:color="auto" w:fill="FFFFFF"/>
                <w:lang w:eastAsia="ja-JP"/>
              </w:rPr>
              <w:t>²</w:t>
            </w:r>
          </w:p>
        </w:tc>
      </w:tr>
    </w:tbl>
    <w:p w14:paraId="70A2A9EF" w14:textId="645D856A" w:rsidR="00BB7920" w:rsidRPr="0095391C" w:rsidRDefault="00D64343" w:rsidP="00637F64">
      <w:pPr>
        <w:pStyle w:val="BodyText2"/>
        <w:tabs>
          <w:tab w:val="left" w:pos="720"/>
        </w:tabs>
        <w:spacing w:before="0" w:after="0" w:line="276" w:lineRule="auto"/>
        <w:jc w:val="both"/>
        <w:rPr>
          <w:rFonts w:asciiTheme="minorHAnsi" w:hAnsiTheme="minorHAnsi" w:cstheme="minorHAnsi"/>
          <w:bCs/>
          <w:sz w:val="22"/>
          <w:szCs w:val="22"/>
        </w:rPr>
      </w:pPr>
      <w:r w:rsidRPr="0095391C">
        <w:rPr>
          <w:rFonts w:asciiTheme="minorHAnsi" w:hAnsiTheme="minorHAnsi" w:cstheme="minorHAnsi"/>
          <w:bCs/>
          <w:sz w:val="22"/>
          <w:szCs w:val="22"/>
        </w:rPr>
        <w:t xml:space="preserve">Figure 1. </w:t>
      </w:r>
      <w:r w:rsidR="00BB7920" w:rsidRPr="0095391C">
        <w:rPr>
          <w:rFonts w:asciiTheme="minorHAnsi" w:hAnsiTheme="minorHAnsi" w:cstheme="minorHAnsi"/>
          <w:sz w:val="22"/>
          <w:szCs w:val="22"/>
        </w:rPr>
        <w:t xml:space="preserve">Structure and physicochemical properties of </w:t>
      </w:r>
      <w:r w:rsidR="00BB7920" w:rsidRPr="0095391C">
        <w:rPr>
          <w:rFonts w:asciiTheme="minorHAnsi" w:hAnsiTheme="minorHAnsi" w:cstheme="minorHAnsi"/>
          <w:bCs/>
          <w:sz w:val="22"/>
          <w:szCs w:val="22"/>
        </w:rPr>
        <w:t>glyphosate (N-(phosphonomethyl)-glycine)</w:t>
      </w:r>
    </w:p>
    <w:p w14:paraId="393127B1" w14:textId="77777777" w:rsidR="00A85D5E" w:rsidRPr="0095391C" w:rsidRDefault="00A85D5E" w:rsidP="00A85D5E">
      <w:pPr>
        <w:pStyle w:val="BodyText2"/>
        <w:spacing w:before="0" w:after="0" w:line="276" w:lineRule="auto"/>
        <w:jc w:val="both"/>
        <w:rPr>
          <w:rFonts w:asciiTheme="minorHAnsi" w:hAnsiTheme="minorHAnsi" w:cstheme="minorHAnsi"/>
          <w:color w:val="0D0D0D" w:themeColor="text1" w:themeTint="F2"/>
          <w:sz w:val="22"/>
          <w:szCs w:val="22"/>
        </w:rPr>
      </w:pPr>
    </w:p>
    <w:p w14:paraId="6753EED1" w14:textId="77777777" w:rsidR="002A6801" w:rsidRPr="0095391C" w:rsidRDefault="002A6801" w:rsidP="00A85D5E">
      <w:pPr>
        <w:pStyle w:val="BodyText2"/>
        <w:tabs>
          <w:tab w:val="left" w:pos="720"/>
        </w:tabs>
        <w:spacing w:before="0" w:after="0" w:line="276" w:lineRule="auto"/>
        <w:jc w:val="both"/>
        <w:rPr>
          <w:rFonts w:asciiTheme="minorHAnsi" w:hAnsiTheme="minorHAnsi" w:cstheme="minorHAnsi"/>
          <w:color w:val="0D0D0D" w:themeColor="text1" w:themeTint="F2"/>
          <w:sz w:val="22"/>
          <w:szCs w:val="22"/>
        </w:rPr>
      </w:pPr>
      <w:r w:rsidRPr="0095391C">
        <w:rPr>
          <w:rFonts w:asciiTheme="minorHAnsi" w:hAnsiTheme="minorHAnsi" w:cstheme="minorHAnsi"/>
          <w:color w:val="0D0D0D" w:themeColor="text1" w:themeTint="F2"/>
          <w:sz w:val="22"/>
          <w:szCs w:val="22"/>
        </w:rPr>
        <w:t>Biochar is created by pyrolyzing waste or biomass in the absence or presence of oxygen, resulting in a carbon-rich charcoal composition (Shaaban et al., 2013). Biochar can be utilized as an ameliorant in amelioration technology for a variety of purposes, one of which being the rehabilitation of contaminated soil (Rajapaksha et al., 2016). Biochar has a lot of negative surface charge, surface functional groups, and other structural and textural qualities including high specific surface area, big pore volume, and high cationic exchange capacity, which is supported. These study as the foundation for studying biochar and are indicative of its significant binding ability for organic and inorganic contaminants such as glyphosate. The physicochemical characteristics of biochar are greatly controlled by the kind of raw material, which is subsequently modified by parameters such as technique (Herviyanti et al., 2022; Maulana et al., 2022), particles (Lita et al., 2022), temperature (Trigo et al., 2016), and others throughout the pyrolysis process. The utilization of waste and biomass as raw materials for biochar synthesis aids in the indirect and long-term management of waste. The goal of amelioration technology is to improve the qualities soil and ultilitions of waste as a ameliorant (organic and anorganic).</w:t>
      </w:r>
    </w:p>
    <w:p w14:paraId="6DD4E07E" w14:textId="153846FC" w:rsidR="00BE35D6" w:rsidRPr="0095391C" w:rsidRDefault="002A6801" w:rsidP="00A85D5E">
      <w:pPr>
        <w:pStyle w:val="BodyText2"/>
        <w:tabs>
          <w:tab w:val="left" w:pos="720"/>
        </w:tabs>
        <w:spacing w:before="0" w:after="0" w:line="276" w:lineRule="auto"/>
        <w:jc w:val="both"/>
        <w:rPr>
          <w:rFonts w:asciiTheme="minorHAnsi" w:hAnsiTheme="minorHAnsi" w:cstheme="minorHAnsi"/>
          <w:sz w:val="22"/>
          <w:szCs w:val="22"/>
        </w:rPr>
      </w:pPr>
      <w:r w:rsidRPr="0095391C">
        <w:rPr>
          <w:rFonts w:asciiTheme="minorHAnsi" w:hAnsiTheme="minorHAnsi" w:cstheme="minorHAnsi"/>
          <w:bCs/>
          <w:sz w:val="22"/>
          <w:szCs w:val="22"/>
        </w:rPr>
        <w:t>Soil is the most plentiful growth medium on the planet and a natural adsorbent for pollutants, but its adsorption qualities and power must be improved. Soil's physical and chemical qualities as an adsorbent are highly reliant on its structure and content, which are characterized by large surface area, abundant surface hydroxyl and silanol groups, high cationic exchange capacity, and chemical and mechanical stability (Wang et al., 2019; Viglasova et al., 2018). In the agriculture sector, this potential is being developed in a sustainable manner. Soil and biochar are geo-biosorption with adsorbent that may be used for soil restoration and provide an inexpensive procedure while reducing the environmental effect of waste disposal and agricultural and industrial biomass. The purpose of this research is to investigate and characterize of geo-biosorption (Inceptisols-biochar), where biochar is made from local rice husk</w:t>
      </w:r>
      <w:r w:rsidR="005E37FF" w:rsidRPr="0095391C">
        <w:rPr>
          <w:rFonts w:asciiTheme="minorHAnsi" w:hAnsiTheme="minorHAnsi" w:cstheme="minorHAnsi"/>
          <w:bCs/>
          <w:sz w:val="22"/>
          <w:szCs w:val="22"/>
        </w:rPr>
        <w:t xml:space="preserve"> (RH) </w:t>
      </w:r>
      <w:r w:rsidRPr="0095391C">
        <w:rPr>
          <w:rFonts w:asciiTheme="minorHAnsi" w:hAnsiTheme="minorHAnsi" w:cstheme="minorHAnsi"/>
          <w:bCs/>
          <w:sz w:val="22"/>
          <w:szCs w:val="22"/>
        </w:rPr>
        <w:t>, and to explain the adsorption capacity and effictivity of geo-biosorption in glyphosate.</w:t>
      </w:r>
    </w:p>
    <w:p w14:paraId="7CE08763" w14:textId="77777777" w:rsidR="00FA7473" w:rsidRPr="0095391C" w:rsidRDefault="00FA7473" w:rsidP="004A6FA1">
      <w:pPr>
        <w:pStyle w:val="BodyText"/>
        <w:spacing w:beforeLines="0" w:after="0" w:line="276" w:lineRule="auto"/>
        <w:rPr>
          <w:rFonts w:ascii="Calibri" w:hAnsi="Calibri" w:cs="Calibri"/>
          <w:b/>
          <w:sz w:val="22"/>
        </w:rPr>
      </w:pPr>
      <w:r w:rsidRPr="0095391C">
        <w:rPr>
          <w:rFonts w:ascii="Calibri" w:hAnsi="Calibri" w:cs="Calibri"/>
          <w:b/>
          <w:sz w:val="22"/>
        </w:rPr>
        <w:lastRenderedPageBreak/>
        <w:t>MATERIAL AND METHODS</w:t>
      </w:r>
    </w:p>
    <w:p w14:paraId="2EDE74C4" w14:textId="77777777" w:rsidR="00637F64" w:rsidRPr="0095391C" w:rsidRDefault="00637F64" w:rsidP="00BE35D6">
      <w:pPr>
        <w:pStyle w:val="maintext"/>
        <w:widowControl w:val="0"/>
        <w:spacing w:line="276" w:lineRule="auto"/>
        <w:ind w:firstLine="0"/>
        <w:rPr>
          <w:rFonts w:asciiTheme="minorHAnsi" w:hAnsiTheme="minorHAnsi" w:cstheme="minorHAnsi"/>
          <w:sz w:val="22"/>
          <w:szCs w:val="22"/>
        </w:rPr>
      </w:pPr>
      <w:r w:rsidRPr="0095391C">
        <w:rPr>
          <w:rFonts w:asciiTheme="minorHAnsi" w:hAnsiTheme="minorHAnsi" w:cstheme="minorHAnsi"/>
          <w:sz w:val="22"/>
          <w:szCs w:val="22"/>
        </w:rPr>
        <w:t xml:space="preserve">The research was conducted at the Laboratory of Chemistry and Soil Fertility, Faculty of Agriculture, Andalas University, Padang from April until June 2021.  </w:t>
      </w:r>
    </w:p>
    <w:p w14:paraId="3757AC26" w14:textId="77777777" w:rsidR="00BE35D6" w:rsidRPr="0095391C" w:rsidRDefault="00BE35D6" w:rsidP="00BE35D6">
      <w:pPr>
        <w:pStyle w:val="maintext"/>
        <w:widowControl w:val="0"/>
        <w:spacing w:line="276" w:lineRule="auto"/>
        <w:ind w:firstLine="0"/>
        <w:rPr>
          <w:rFonts w:asciiTheme="minorHAnsi" w:hAnsiTheme="minorHAnsi" w:cstheme="minorHAnsi"/>
          <w:sz w:val="22"/>
          <w:szCs w:val="22"/>
        </w:rPr>
      </w:pPr>
    </w:p>
    <w:p w14:paraId="5084938C" w14:textId="77777777" w:rsidR="00637F64" w:rsidRPr="0095391C" w:rsidRDefault="00637F64" w:rsidP="00BE35D6">
      <w:pPr>
        <w:pStyle w:val="Secondlevelheading"/>
        <w:widowControl w:val="0"/>
        <w:spacing w:line="276" w:lineRule="auto"/>
        <w:jc w:val="left"/>
        <w:rPr>
          <w:rFonts w:asciiTheme="minorHAnsi" w:hAnsiTheme="minorHAnsi" w:cstheme="minorHAnsi"/>
          <w:b/>
          <w:bCs/>
          <w:sz w:val="22"/>
          <w:szCs w:val="22"/>
        </w:rPr>
      </w:pPr>
      <w:r w:rsidRPr="0095391C">
        <w:rPr>
          <w:rFonts w:asciiTheme="minorHAnsi" w:eastAsia="MS Mincho" w:hAnsiTheme="minorHAnsi" w:cstheme="minorHAnsi"/>
          <w:b/>
          <w:bCs/>
          <w:sz w:val="22"/>
          <w:szCs w:val="22"/>
        </w:rPr>
        <w:t xml:space="preserve">3.1 </w:t>
      </w:r>
      <w:r w:rsidRPr="0095391C">
        <w:rPr>
          <w:rFonts w:asciiTheme="minorHAnsi" w:hAnsiTheme="minorHAnsi" w:cstheme="minorHAnsi"/>
          <w:b/>
          <w:sz w:val="22"/>
          <w:szCs w:val="22"/>
        </w:rPr>
        <w:t>Soil Samples and Analyses</w:t>
      </w:r>
    </w:p>
    <w:p w14:paraId="4564E736" w14:textId="3211D2D3" w:rsidR="00637F64" w:rsidRPr="0095391C" w:rsidRDefault="00D7257C" w:rsidP="00637F64">
      <w:pPr>
        <w:pStyle w:val="maintext"/>
        <w:widowControl w:val="0"/>
        <w:spacing w:line="276" w:lineRule="auto"/>
        <w:ind w:firstLine="0"/>
        <w:rPr>
          <w:rFonts w:asciiTheme="minorHAnsi" w:hAnsiTheme="minorHAnsi" w:cstheme="minorHAnsi"/>
          <w:sz w:val="22"/>
          <w:szCs w:val="22"/>
        </w:rPr>
      </w:pPr>
      <w:r w:rsidRPr="0095391C">
        <w:rPr>
          <w:rFonts w:asciiTheme="minorHAnsi" w:hAnsiTheme="minorHAnsi" w:cstheme="minorHAnsi"/>
          <w:sz w:val="22"/>
          <w:szCs w:val="22"/>
        </w:rPr>
        <w:t>The soil utilized was Inceptisol from Nagari Sariak, Sungai Pua, Agam, which is a horticultural crop producing hub in West Sumatra, Indonesia. Soil samples collected in the field were air-dried for 2*24 hours before being crushed and sieved using a 2 mm sieve. The soil sample was then weighed at 500g absolute dry equivalent, composited with 40 t ha</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xml:space="preserve"> rice husk biochar, and incubated for 2 weeks. After the incubation procedure, the soil analysis process is carried out in the laboratory. Soil analysis refers to goal of studying the loading activity of geo-biosorption (Inceptisols - biochar) and Inceptisols using the following parameters: clay content, active pH, EC, CEC, ash, soil organic matter (SOM), soil PZC, and pH. The FTIR reflectance spectrum was collected between 500 and 4000 cm</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xml:space="preserve"> (Singh et al., 2017; Balai Penelitian Tanah. 2012).</w:t>
      </w:r>
    </w:p>
    <w:p w14:paraId="16B3675F" w14:textId="77777777" w:rsidR="005E37FF" w:rsidRPr="0095391C" w:rsidRDefault="005E37FF" w:rsidP="00637F64">
      <w:pPr>
        <w:pStyle w:val="maintext"/>
        <w:widowControl w:val="0"/>
        <w:spacing w:line="276" w:lineRule="auto"/>
        <w:ind w:firstLine="0"/>
        <w:rPr>
          <w:rFonts w:asciiTheme="minorHAnsi" w:hAnsiTheme="minorHAnsi" w:cstheme="minorHAnsi"/>
          <w:sz w:val="22"/>
          <w:szCs w:val="22"/>
        </w:rPr>
      </w:pPr>
    </w:p>
    <w:p w14:paraId="270CD47E" w14:textId="6FA5D07C" w:rsidR="005E37FF" w:rsidRPr="0095391C" w:rsidRDefault="005E37FF" w:rsidP="005E37FF">
      <w:pPr>
        <w:pStyle w:val="Secondlevelheading"/>
        <w:widowControl w:val="0"/>
        <w:spacing w:line="240" w:lineRule="auto"/>
        <w:jc w:val="left"/>
        <w:rPr>
          <w:rFonts w:asciiTheme="minorHAnsi" w:hAnsiTheme="minorHAnsi" w:cstheme="minorHAnsi"/>
          <w:b/>
          <w:bCs/>
          <w:color w:val="0D0D0D" w:themeColor="text1" w:themeTint="F2"/>
          <w:sz w:val="22"/>
          <w:szCs w:val="22"/>
        </w:rPr>
      </w:pPr>
      <w:r w:rsidRPr="0095391C">
        <w:rPr>
          <w:rFonts w:asciiTheme="minorHAnsi" w:eastAsia="MS Mincho" w:hAnsiTheme="minorHAnsi" w:cstheme="minorHAnsi"/>
          <w:b/>
          <w:bCs/>
          <w:color w:val="0D0D0D" w:themeColor="text1" w:themeTint="F2"/>
          <w:sz w:val="22"/>
          <w:szCs w:val="22"/>
        </w:rPr>
        <w:t xml:space="preserve">3.2 </w:t>
      </w:r>
      <w:r w:rsidRPr="0095391C">
        <w:rPr>
          <w:rFonts w:asciiTheme="minorHAnsi" w:hAnsiTheme="minorHAnsi" w:cstheme="minorHAnsi"/>
          <w:b/>
          <w:bCs/>
          <w:color w:val="0D0D0D" w:themeColor="text1" w:themeTint="F2"/>
          <w:sz w:val="22"/>
          <w:szCs w:val="22"/>
        </w:rPr>
        <w:t xml:space="preserve">Rice Husk Biochar Productions </w:t>
      </w:r>
    </w:p>
    <w:p w14:paraId="598AD5CC" w14:textId="10C0B152" w:rsidR="005E37FF" w:rsidRPr="0095391C" w:rsidRDefault="005E37FF" w:rsidP="00637F64">
      <w:pPr>
        <w:pStyle w:val="maintext"/>
        <w:widowControl w:val="0"/>
        <w:spacing w:line="276" w:lineRule="auto"/>
        <w:ind w:firstLine="0"/>
        <w:rPr>
          <w:rFonts w:asciiTheme="minorHAnsi" w:hAnsiTheme="minorHAnsi" w:cstheme="minorHAnsi"/>
          <w:sz w:val="22"/>
          <w:szCs w:val="22"/>
        </w:rPr>
      </w:pPr>
      <w:r w:rsidRPr="0095391C">
        <w:rPr>
          <w:rFonts w:asciiTheme="minorHAnsi" w:hAnsiTheme="minorHAnsi" w:cstheme="minorHAnsi"/>
          <w:color w:val="0D0D0D" w:themeColor="text1" w:themeTint="F2"/>
          <w:sz w:val="22"/>
          <w:szCs w:val="22"/>
        </w:rPr>
        <w:t>Rice husk is a waste from the rice milling industry. Rice husk biochar (RH</w:t>
      </w:r>
      <w:r w:rsidRPr="0095391C">
        <w:rPr>
          <w:rFonts w:asciiTheme="minorHAnsi" w:hAnsiTheme="minorHAnsi" w:cstheme="minorHAnsi"/>
          <w:color w:val="0D0D0D" w:themeColor="text1" w:themeTint="F2"/>
          <w:sz w:val="22"/>
          <w:szCs w:val="22"/>
          <w:vertAlign w:val="subscript"/>
        </w:rPr>
        <w:t>B</w:t>
      </w:r>
      <w:r w:rsidRPr="0095391C">
        <w:rPr>
          <w:rFonts w:asciiTheme="minorHAnsi" w:hAnsiTheme="minorHAnsi" w:cstheme="minorHAnsi"/>
          <w:color w:val="0D0D0D" w:themeColor="text1" w:themeTint="F2"/>
          <w:sz w:val="22"/>
          <w:szCs w:val="22"/>
        </w:rPr>
        <w:t>) is produced by the Drum method through a pyrolysis process. Pyrolysis was carried out in iron drums with a diameter of 58 cm, a height of 86 cm, and a capacity of 200 liters and combined with the Kon-Tiki method at a heating rate of up to 650</w:t>
      </w:r>
      <w:r w:rsidRPr="0095391C">
        <w:rPr>
          <w:rFonts w:asciiTheme="minorHAnsi" w:hAnsiTheme="minorHAnsi" w:cstheme="minorHAnsi"/>
          <w:color w:val="0D0D0D" w:themeColor="text1" w:themeTint="F2"/>
          <w:sz w:val="22"/>
          <w:szCs w:val="22"/>
          <w:vertAlign w:val="superscript"/>
        </w:rPr>
        <w:t>0</w:t>
      </w:r>
      <w:r w:rsidRPr="0095391C">
        <w:rPr>
          <w:rFonts w:asciiTheme="minorHAnsi" w:hAnsiTheme="minorHAnsi" w:cstheme="minorHAnsi"/>
          <w:color w:val="0D0D0D" w:themeColor="text1" w:themeTint="F2"/>
          <w:sz w:val="22"/>
          <w:szCs w:val="22"/>
        </w:rPr>
        <w:t xml:space="preserve">C, the maximum pyrolysis temperature was kept constant for 45 minutes to ensure completion in the final process. </w:t>
      </w:r>
    </w:p>
    <w:p w14:paraId="0A2E6EF3" w14:textId="77777777" w:rsidR="00D7257C" w:rsidRPr="0095391C" w:rsidRDefault="00D7257C" w:rsidP="00637F64">
      <w:pPr>
        <w:pStyle w:val="maintext"/>
        <w:widowControl w:val="0"/>
        <w:spacing w:line="276" w:lineRule="auto"/>
        <w:ind w:firstLine="0"/>
        <w:rPr>
          <w:rFonts w:asciiTheme="minorHAnsi" w:hAnsiTheme="minorHAnsi" w:cstheme="minorHAnsi"/>
          <w:sz w:val="22"/>
          <w:szCs w:val="22"/>
        </w:rPr>
      </w:pPr>
    </w:p>
    <w:p w14:paraId="4B06DDCE" w14:textId="0B2E73C6" w:rsidR="00637F64" w:rsidRPr="0095391C" w:rsidRDefault="005E37FF" w:rsidP="00637F64">
      <w:pPr>
        <w:pStyle w:val="Secondlevelheading"/>
        <w:widowControl w:val="0"/>
        <w:spacing w:line="276" w:lineRule="auto"/>
        <w:rPr>
          <w:rFonts w:asciiTheme="minorHAnsi" w:eastAsia="MS Mincho" w:hAnsiTheme="minorHAnsi" w:cstheme="minorHAnsi"/>
          <w:b/>
          <w:bCs/>
          <w:sz w:val="22"/>
          <w:szCs w:val="22"/>
        </w:rPr>
      </w:pPr>
      <w:r w:rsidRPr="0095391C">
        <w:rPr>
          <w:rFonts w:asciiTheme="minorHAnsi" w:eastAsia="MS Mincho" w:hAnsiTheme="minorHAnsi" w:cstheme="minorHAnsi"/>
          <w:b/>
          <w:bCs/>
          <w:sz w:val="22"/>
          <w:szCs w:val="22"/>
        </w:rPr>
        <w:t>3.3</w:t>
      </w:r>
      <w:r w:rsidR="00637F64" w:rsidRPr="0095391C">
        <w:rPr>
          <w:rFonts w:asciiTheme="minorHAnsi" w:eastAsia="MS Mincho" w:hAnsiTheme="minorHAnsi" w:cstheme="minorHAnsi"/>
          <w:b/>
          <w:bCs/>
          <w:sz w:val="22"/>
          <w:szCs w:val="22"/>
        </w:rPr>
        <w:t xml:space="preserve"> </w:t>
      </w:r>
      <w:r w:rsidR="00637F64" w:rsidRPr="0095391C">
        <w:rPr>
          <w:rFonts w:asciiTheme="minorHAnsi" w:hAnsiTheme="minorHAnsi" w:cstheme="minorHAnsi"/>
          <w:b/>
          <w:sz w:val="22"/>
          <w:szCs w:val="22"/>
        </w:rPr>
        <w:t>Glyphosate Solution</w:t>
      </w:r>
    </w:p>
    <w:p w14:paraId="617803D9" w14:textId="77777777" w:rsidR="00637F64" w:rsidRPr="0095391C" w:rsidRDefault="00637F64" w:rsidP="00637F64">
      <w:pPr>
        <w:pStyle w:val="Secondlevelheading"/>
        <w:widowControl w:val="0"/>
        <w:spacing w:line="276" w:lineRule="auto"/>
        <w:rPr>
          <w:rFonts w:asciiTheme="minorHAnsi" w:eastAsia="MS Mincho" w:hAnsiTheme="minorHAnsi" w:cstheme="minorHAnsi"/>
          <w:bCs/>
          <w:sz w:val="22"/>
          <w:szCs w:val="22"/>
        </w:rPr>
      </w:pPr>
      <w:r w:rsidRPr="0095391C">
        <w:rPr>
          <w:rFonts w:asciiTheme="minorHAnsi" w:eastAsia="MS Mincho" w:hAnsiTheme="minorHAnsi" w:cstheme="minorHAnsi"/>
          <w:bCs/>
          <w:sz w:val="22"/>
          <w:szCs w:val="22"/>
        </w:rPr>
        <w:t>The glyphosate solution was prepared with 5 concentration levels (0; 1, 5, 10, 50, 100 mg L</w:t>
      </w:r>
      <w:r w:rsidRPr="0095391C">
        <w:rPr>
          <w:rFonts w:asciiTheme="minorHAnsi" w:eastAsia="MS Mincho" w:hAnsiTheme="minorHAnsi" w:cstheme="minorHAnsi"/>
          <w:bCs/>
          <w:sz w:val="22"/>
          <w:szCs w:val="22"/>
          <w:vertAlign w:val="superscript"/>
        </w:rPr>
        <w:t>−1</w:t>
      </w:r>
      <w:r w:rsidRPr="0095391C">
        <w:rPr>
          <w:rFonts w:asciiTheme="minorHAnsi" w:eastAsia="MS Mincho" w:hAnsiTheme="minorHAnsi" w:cstheme="minorHAnsi"/>
          <w:bCs/>
          <w:sz w:val="22"/>
          <w:szCs w:val="22"/>
        </w:rPr>
        <w:t>) was prepared by dissolving the herbicide (Roundup Biosorb 486 SL) in 0.01 M CaCl</w:t>
      </w:r>
      <w:r w:rsidRPr="0095391C">
        <w:rPr>
          <w:rFonts w:asciiTheme="minorHAnsi" w:eastAsia="MS Mincho" w:hAnsiTheme="minorHAnsi" w:cstheme="minorHAnsi"/>
          <w:bCs/>
          <w:sz w:val="22"/>
          <w:szCs w:val="22"/>
          <w:vertAlign w:val="subscript"/>
        </w:rPr>
        <w:t>2</w:t>
      </w:r>
      <w:r w:rsidRPr="0095391C">
        <w:rPr>
          <w:rFonts w:asciiTheme="minorHAnsi" w:eastAsia="MS Mincho" w:hAnsiTheme="minorHAnsi" w:cstheme="minorHAnsi"/>
          <w:bCs/>
          <w:sz w:val="22"/>
          <w:szCs w:val="22"/>
        </w:rPr>
        <w:t>, wherein the concentration of 100 mg L</w:t>
      </w:r>
      <w:r w:rsidRPr="0095391C">
        <w:rPr>
          <w:rFonts w:asciiTheme="minorHAnsi" w:eastAsia="MS Mincho" w:hAnsiTheme="minorHAnsi" w:cstheme="minorHAnsi"/>
          <w:bCs/>
          <w:sz w:val="22"/>
          <w:szCs w:val="22"/>
          <w:vertAlign w:val="superscript"/>
        </w:rPr>
        <w:t>−1</w:t>
      </w:r>
      <w:r w:rsidRPr="0095391C">
        <w:rPr>
          <w:rFonts w:asciiTheme="minorHAnsi" w:eastAsia="MS Mincho" w:hAnsiTheme="minorHAnsi" w:cstheme="minorHAnsi"/>
          <w:bCs/>
          <w:sz w:val="22"/>
          <w:szCs w:val="22"/>
        </w:rPr>
        <w:t xml:space="preserve"> glyphosate was obtained by added 0.14 mL of herbicide (Roundup Biosorb 486 SL) in 500 mL of 0.01 M CaCl</w:t>
      </w:r>
      <w:r w:rsidRPr="0095391C">
        <w:rPr>
          <w:rFonts w:asciiTheme="minorHAnsi" w:eastAsia="MS Mincho" w:hAnsiTheme="minorHAnsi" w:cstheme="minorHAnsi"/>
          <w:bCs/>
          <w:sz w:val="22"/>
          <w:szCs w:val="22"/>
          <w:vertAlign w:val="subscript"/>
        </w:rPr>
        <w:t>2</w:t>
      </w:r>
      <w:r w:rsidRPr="0095391C">
        <w:rPr>
          <w:rFonts w:asciiTheme="minorHAnsi" w:eastAsia="MS Mincho" w:hAnsiTheme="minorHAnsi" w:cstheme="minorHAnsi"/>
          <w:bCs/>
          <w:sz w:val="22"/>
          <w:szCs w:val="22"/>
        </w:rPr>
        <w:t>. Meanwhile, for the manufacture of concentrations of 1, 5, 10, and 50 mg L</w:t>
      </w:r>
      <w:r w:rsidRPr="0095391C">
        <w:rPr>
          <w:rFonts w:asciiTheme="minorHAnsi" w:eastAsia="MS Mincho" w:hAnsiTheme="minorHAnsi" w:cstheme="minorHAnsi"/>
          <w:bCs/>
          <w:sz w:val="22"/>
          <w:szCs w:val="22"/>
          <w:vertAlign w:val="superscript"/>
        </w:rPr>
        <w:t>−1</w:t>
      </w:r>
      <w:r w:rsidRPr="0095391C">
        <w:rPr>
          <w:rFonts w:asciiTheme="minorHAnsi" w:eastAsia="MS Mincho" w:hAnsiTheme="minorHAnsi" w:cstheme="minorHAnsi"/>
          <w:bCs/>
          <w:sz w:val="22"/>
          <w:szCs w:val="22"/>
        </w:rPr>
        <w:t xml:space="preserve"> glyphosate was obtained from the volume of each concentration of 3.5 mL; 17.5 mL; 35 mL, and 175 mL in 500 mL 0.01 M CaCl</w:t>
      </w:r>
      <w:r w:rsidRPr="0095391C">
        <w:rPr>
          <w:rFonts w:asciiTheme="minorHAnsi" w:eastAsia="MS Mincho" w:hAnsiTheme="minorHAnsi" w:cstheme="minorHAnsi"/>
          <w:bCs/>
          <w:sz w:val="22"/>
          <w:szCs w:val="22"/>
          <w:vertAlign w:val="subscript"/>
        </w:rPr>
        <w:t>2</w:t>
      </w:r>
      <w:r w:rsidRPr="0095391C">
        <w:rPr>
          <w:rFonts w:asciiTheme="minorHAnsi" w:eastAsia="MS Mincho" w:hAnsiTheme="minorHAnsi" w:cstheme="minorHAnsi"/>
          <w:bCs/>
          <w:sz w:val="22"/>
          <w:szCs w:val="22"/>
        </w:rPr>
        <w:t>.</w:t>
      </w:r>
    </w:p>
    <w:p w14:paraId="543877C5" w14:textId="77777777" w:rsidR="00637F64" w:rsidRPr="0095391C" w:rsidRDefault="00637F64" w:rsidP="00637F64">
      <w:pPr>
        <w:pStyle w:val="Secondlevelheading"/>
        <w:widowControl w:val="0"/>
        <w:spacing w:line="276" w:lineRule="auto"/>
        <w:ind w:firstLine="284"/>
        <w:rPr>
          <w:rFonts w:asciiTheme="minorHAnsi" w:eastAsia="MS Mincho" w:hAnsiTheme="minorHAnsi" w:cstheme="minorHAnsi"/>
          <w:b/>
          <w:bCs/>
          <w:sz w:val="22"/>
          <w:szCs w:val="22"/>
        </w:rPr>
      </w:pPr>
    </w:p>
    <w:p w14:paraId="1557958A" w14:textId="0A1146B5" w:rsidR="00637F64" w:rsidRPr="0095391C" w:rsidRDefault="005E37FF" w:rsidP="00637F64">
      <w:pPr>
        <w:pStyle w:val="Secondlevelheading"/>
        <w:widowControl w:val="0"/>
        <w:spacing w:line="276" w:lineRule="auto"/>
        <w:rPr>
          <w:rFonts w:asciiTheme="minorHAnsi" w:hAnsiTheme="minorHAnsi" w:cstheme="minorHAnsi"/>
          <w:b/>
          <w:bCs/>
          <w:sz w:val="22"/>
          <w:szCs w:val="22"/>
        </w:rPr>
      </w:pPr>
      <w:r w:rsidRPr="0095391C">
        <w:rPr>
          <w:rFonts w:asciiTheme="minorHAnsi" w:eastAsia="MS Mincho" w:hAnsiTheme="minorHAnsi" w:cstheme="minorHAnsi"/>
          <w:b/>
          <w:bCs/>
          <w:sz w:val="22"/>
          <w:szCs w:val="22"/>
        </w:rPr>
        <w:t>3.4</w:t>
      </w:r>
      <w:r w:rsidR="00637F64" w:rsidRPr="0095391C">
        <w:rPr>
          <w:rFonts w:asciiTheme="minorHAnsi" w:eastAsia="MS Mincho" w:hAnsiTheme="minorHAnsi" w:cstheme="minorHAnsi"/>
          <w:b/>
          <w:bCs/>
          <w:sz w:val="22"/>
          <w:szCs w:val="22"/>
        </w:rPr>
        <w:t xml:space="preserve"> </w:t>
      </w:r>
      <w:r w:rsidR="00637F64" w:rsidRPr="0095391C">
        <w:rPr>
          <w:rFonts w:asciiTheme="minorHAnsi" w:hAnsiTheme="minorHAnsi" w:cstheme="minorHAnsi"/>
          <w:b/>
          <w:bCs/>
          <w:sz w:val="22"/>
          <w:szCs w:val="22"/>
        </w:rPr>
        <w:t>Batch Adsorption Experiments</w:t>
      </w:r>
    </w:p>
    <w:p w14:paraId="0052ADA4" w14:textId="111B19B1" w:rsidR="00637F64" w:rsidRPr="0095391C" w:rsidRDefault="00637F64" w:rsidP="00637F64">
      <w:pPr>
        <w:pStyle w:val="maintext"/>
        <w:widowControl w:val="0"/>
        <w:spacing w:line="276" w:lineRule="auto"/>
        <w:ind w:firstLine="0"/>
        <w:rPr>
          <w:rFonts w:asciiTheme="minorHAnsi" w:hAnsiTheme="minorHAnsi" w:cstheme="minorHAnsi"/>
          <w:sz w:val="22"/>
          <w:szCs w:val="22"/>
        </w:rPr>
      </w:pPr>
      <w:r w:rsidRPr="0095391C">
        <w:rPr>
          <w:rFonts w:asciiTheme="minorHAnsi" w:hAnsiTheme="minorHAnsi" w:cstheme="minorHAnsi"/>
          <w:sz w:val="22"/>
          <w:szCs w:val="22"/>
        </w:rPr>
        <w:t xml:space="preserve">The adsorption performance was carried out by mixing 0.5g of adsorbent with 20 mL of glyphosate solution in a closed 25 mL glass cylindrical tube in an isothermal test, where the concentrations varied from 1, 5, 10, 50 and 100 </w:t>
      </w:r>
      <w:r w:rsidRPr="0095391C">
        <w:rPr>
          <w:rFonts w:asciiTheme="minorHAnsi" w:eastAsia="MS Mincho" w:hAnsiTheme="minorHAnsi" w:cstheme="minorHAnsi"/>
          <w:bCs/>
          <w:sz w:val="22"/>
          <w:szCs w:val="22"/>
        </w:rPr>
        <w:t>mg L</w:t>
      </w:r>
      <w:r w:rsidRPr="0095391C">
        <w:rPr>
          <w:rFonts w:asciiTheme="minorHAnsi" w:eastAsia="MS Mincho" w:hAnsiTheme="minorHAnsi" w:cstheme="minorHAnsi"/>
          <w:bCs/>
          <w:sz w:val="22"/>
          <w:szCs w:val="22"/>
          <w:vertAlign w:val="superscript"/>
        </w:rPr>
        <w:t>−1</w:t>
      </w:r>
      <w:r w:rsidRPr="0095391C">
        <w:rPr>
          <w:rFonts w:asciiTheme="minorHAnsi" w:hAnsiTheme="minorHAnsi" w:cstheme="minorHAnsi"/>
          <w:sz w:val="22"/>
          <w:szCs w:val="22"/>
        </w:rPr>
        <w:t>and stirred on a rotary shaker at a speed of 250 rpm for 24 hours at laboratory temperature (25</w:t>
      </w:r>
      <w:r w:rsidRPr="0095391C">
        <w:rPr>
          <w:rFonts w:asciiTheme="minorHAnsi" w:hAnsiTheme="minorHAnsi" w:cstheme="minorHAnsi"/>
          <w:sz w:val="22"/>
          <w:szCs w:val="22"/>
          <w:vertAlign w:val="superscript"/>
        </w:rPr>
        <w:t>0</w:t>
      </w:r>
      <w:r w:rsidRPr="0095391C">
        <w:rPr>
          <w:rFonts w:asciiTheme="minorHAnsi" w:hAnsiTheme="minorHAnsi" w:cstheme="minorHAnsi"/>
          <w:sz w:val="22"/>
          <w:szCs w:val="22"/>
        </w:rPr>
        <w:t xml:space="preserve">C). Samples were centrifuged at 4000 rpm for 30 minutes. The sample was filtered using Whatman No. 1 filter paper, where the pH of the filtrate solution was measured at each concentration and the equilibrium concentration of glyphosate remaining in the solution was determined in a UV-Vis spectrophotometer at a wavelength of 830 nm with complexing </w:t>
      </w:r>
      <w:r w:rsidR="00BE35D6" w:rsidRPr="0095391C">
        <w:rPr>
          <w:rFonts w:asciiTheme="minorHAnsi" w:hAnsiTheme="minorHAnsi" w:cstheme="minorHAnsi"/>
          <w:sz w:val="22"/>
          <w:szCs w:val="22"/>
        </w:rPr>
        <w:t>(</w:t>
      </w:r>
      <w:r w:rsidR="00BE35D6" w:rsidRPr="0095391C">
        <w:rPr>
          <w:rFonts w:asciiTheme="minorHAnsi" w:eastAsiaTheme="minorEastAsia" w:hAnsiTheme="minorHAnsi" w:cstheme="minorHAnsi"/>
          <w:sz w:val="22"/>
          <w:szCs w:val="22"/>
        </w:rPr>
        <w:t>Robert, 1981</w:t>
      </w:r>
      <w:r w:rsidR="00BE35D6" w:rsidRPr="0095391C">
        <w:rPr>
          <w:rFonts w:asciiTheme="minorHAnsi" w:hAnsiTheme="minorHAnsi" w:cstheme="minorHAnsi"/>
          <w:sz w:val="22"/>
          <w:szCs w:val="22"/>
        </w:rPr>
        <w:t>)</w:t>
      </w:r>
      <w:r w:rsidRPr="0095391C">
        <w:rPr>
          <w:rFonts w:asciiTheme="minorHAnsi" w:hAnsiTheme="minorHAnsi" w:cstheme="minorHAnsi"/>
          <w:sz w:val="22"/>
          <w:szCs w:val="22"/>
        </w:rPr>
        <w:t>.</w:t>
      </w:r>
    </w:p>
    <w:p w14:paraId="7EDC2273" w14:textId="77777777" w:rsidR="00637F64" w:rsidRPr="0095391C" w:rsidRDefault="00637F64" w:rsidP="00637F64">
      <w:pPr>
        <w:pStyle w:val="maintext"/>
        <w:widowControl w:val="0"/>
        <w:spacing w:line="276" w:lineRule="auto"/>
        <w:ind w:firstLine="0"/>
        <w:rPr>
          <w:rFonts w:asciiTheme="minorHAnsi" w:hAnsiTheme="minorHAnsi" w:cstheme="minorHAnsi"/>
          <w:sz w:val="22"/>
          <w:szCs w:val="22"/>
        </w:rPr>
      </w:pPr>
      <w:r w:rsidRPr="0095391C">
        <w:rPr>
          <w:rFonts w:asciiTheme="minorHAnsi" w:hAnsiTheme="minorHAnsi" w:cstheme="minorHAnsi"/>
          <w:sz w:val="22"/>
          <w:szCs w:val="22"/>
        </w:rPr>
        <w:t>The amount of glyphosate adsorbed by different adsorbents was calculated by Eq. (1) to calculate the adsorption capacity (Q</w:t>
      </w:r>
      <w:r w:rsidRPr="0095391C">
        <w:rPr>
          <w:rFonts w:asciiTheme="minorHAnsi" w:hAnsiTheme="minorHAnsi" w:cstheme="minorHAnsi"/>
          <w:sz w:val="22"/>
          <w:szCs w:val="22"/>
          <w:vertAlign w:val="subscript"/>
        </w:rPr>
        <w:t>e</w:t>
      </w:r>
      <w:r w:rsidRPr="0095391C">
        <w:rPr>
          <w:rFonts w:asciiTheme="minorHAnsi" w:hAnsiTheme="minorHAnsi" w:cstheme="minorHAnsi"/>
          <w:sz w:val="22"/>
          <w:szCs w:val="22"/>
        </w:rPr>
        <w:t>) and removal efficiency (% R) from Eq. (2).</w:t>
      </w:r>
    </w:p>
    <w:p w14:paraId="5E22869F" w14:textId="2CA31063" w:rsidR="00637F64" w:rsidRPr="0095391C" w:rsidRDefault="00637F64" w:rsidP="00BE35D6">
      <w:pPr>
        <w:pStyle w:val="maintext"/>
        <w:widowControl w:val="0"/>
        <w:spacing w:line="276" w:lineRule="auto"/>
        <w:ind w:left="3402" w:firstLine="0"/>
        <w:rPr>
          <w:rFonts w:asciiTheme="minorHAnsi" w:hAnsiTheme="minorHAnsi" w:cstheme="minorHAnsi"/>
          <w:sz w:val="22"/>
          <w:szCs w:val="22"/>
        </w:rPr>
      </w:pPr>
      <w:r w:rsidRPr="0095391C">
        <w:rPr>
          <w:rFonts w:asciiTheme="minorHAnsi" w:hAnsiTheme="minorHAnsi" w:cstheme="minorHAnsi"/>
          <w:i/>
          <w:sz w:val="22"/>
          <w:szCs w:val="22"/>
        </w:rPr>
        <w:t>Q</w:t>
      </w:r>
      <w:r w:rsidRPr="0095391C">
        <w:rPr>
          <w:rFonts w:asciiTheme="minorHAnsi" w:hAnsiTheme="minorHAnsi" w:cstheme="minorHAnsi"/>
          <w:i/>
          <w:sz w:val="22"/>
          <w:szCs w:val="22"/>
          <w:vertAlign w:val="subscript"/>
        </w:rPr>
        <w:t>e</w:t>
      </w:r>
      <w:r w:rsidRPr="0095391C">
        <w:rPr>
          <w:rFonts w:asciiTheme="minorHAnsi" w:hAnsiTheme="minorHAnsi" w:cstheme="minorHAnsi"/>
          <w:i/>
          <w:sz w:val="22"/>
          <w:szCs w:val="22"/>
        </w:rPr>
        <w:t xml:space="preserve"> = </w:t>
      </w:r>
      <m:oMath>
        <m:f>
          <m:fPr>
            <m:ctrlPr>
              <w:rPr>
                <w:rFonts w:ascii="Cambria Math" w:hAnsi="Cambria Math" w:cstheme="minorHAnsi"/>
                <w:i/>
                <w:sz w:val="22"/>
                <w:szCs w:val="22"/>
              </w:rPr>
            </m:ctrlPr>
          </m:fPr>
          <m:num>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C</m:t>
                </m:r>
              </m:e>
              <m:sub>
                <m:r>
                  <w:rPr>
                    <w:rFonts w:ascii="Cambria Math" w:hAnsi="Cambria Math" w:cstheme="minorHAnsi"/>
                    <w:sz w:val="22"/>
                    <w:szCs w:val="22"/>
                  </w:rPr>
                  <m:t>o</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C</m:t>
                </m:r>
              </m:e>
              <m:sub>
                <m:r>
                  <w:rPr>
                    <w:rFonts w:ascii="Cambria Math" w:hAnsi="Cambria Math" w:cstheme="minorHAnsi"/>
                    <w:sz w:val="22"/>
                    <w:szCs w:val="22"/>
                  </w:rPr>
                  <m:t>e</m:t>
                </m:r>
              </m:sub>
            </m:sSub>
            <m:r>
              <w:rPr>
                <w:rFonts w:ascii="Cambria Math" w:hAnsi="Cambria Math" w:cstheme="minorHAnsi"/>
                <w:sz w:val="22"/>
                <w:szCs w:val="22"/>
              </w:rPr>
              <m:t>)</m:t>
            </m:r>
          </m:num>
          <m:den>
            <m:r>
              <w:rPr>
                <w:rFonts w:ascii="Cambria Math" w:hAnsi="Cambria Math" w:cstheme="minorHAnsi"/>
                <w:sz w:val="22"/>
                <w:szCs w:val="22"/>
              </w:rPr>
              <m:t>m</m:t>
            </m:r>
          </m:den>
        </m:f>
        <m:r>
          <w:rPr>
            <w:rFonts w:ascii="Cambria Math" w:hAnsi="Cambria Math" w:cstheme="minorHAnsi"/>
            <w:sz w:val="22"/>
            <w:szCs w:val="22"/>
          </w:rPr>
          <m:t>*V</m:t>
        </m:r>
      </m:oMath>
      <w:r w:rsidRPr="0095391C">
        <w:rPr>
          <w:rFonts w:asciiTheme="minorHAnsi" w:hAnsiTheme="minorHAnsi" w:cstheme="minorHAnsi"/>
          <w:sz w:val="22"/>
          <w:szCs w:val="22"/>
        </w:rPr>
        <w:t xml:space="preserve"> </w:t>
      </w:r>
      <w:r w:rsidRPr="0095391C">
        <w:rPr>
          <w:rFonts w:asciiTheme="minorHAnsi" w:hAnsiTheme="minorHAnsi" w:cstheme="minorHAnsi"/>
          <w:sz w:val="22"/>
          <w:szCs w:val="22"/>
        </w:rPr>
        <w:tab/>
      </w:r>
      <w:r w:rsidRPr="0095391C">
        <w:rPr>
          <w:rFonts w:asciiTheme="minorHAnsi" w:hAnsiTheme="minorHAnsi" w:cstheme="minorHAnsi"/>
          <w:sz w:val="22"/>
          <w:szCs w:val="22"/>
        </w:rPr>
        <w:tab/>
      </w:r>
      <w:r w:rsidRPr="0095391C">
        <w:rPr>
          <w:rFonts w:asciiTheme="minorHAnsi" w:hAnsiTheme="minorHAnsi" w:cstheme="minorHAnsi"/>
          <w:sz w:val="22"/>
          <w:szCs w:val="22"/>
        </w:rPr>
        <w:tab/>
        <w:t>(1)</w:t>
      </w:r>
    </w:p>
    <w:p w14:paraId="6D9358C0" w14:textId="77777777" w:rsidR="00637F64" w:rsidRPr="0095391C" w:rsidRDefault="00637F64" w:rsidP="00BE35D6">
      <w:pPr>
        <w:pStyle w:val="maintext"/>
        <w:widowControl w:val="0"/>
        <w:spacing w:line="276" w:lineRule="auto"/>
        <w:ind w:left="3402" w:firstLine="0"/>
        <w:rPr>
          <w:rFonts w:asciiTheme="minorHAnsi" w:hAnsiTheme="minorHAnsi" w:cstheme="minorHAnsi"/>
          <w:sz w:val="22"/>
          <w:szCs w:val="22"/>
        </w:rPr>
      </w:pPr>
      <w:r w:rsidRPr="0095391C">
        <w:rPr>
          <w:rFonts w:asciiTheme="minorHAnsi" w:hAnsiTheme="minorHAnsi" w:cstheme="minorHAnsi"/>
          <w:i/>
          <w:sz w:val="22"/>
          <w:szCs w:val="22"/>
        </w:rPr>
        <w:t xml:space="preserve">% R = = </w:t>
      </w:r>
      <m:oMath>
        <m:f>
          <m:fPr>
            <m:ctrlPr>
              <w:rPr>
                <w:rFonts w:ascii="Cambria Math" w:hAnsi="Cambria Math" w:cstheme="minorHAnsi"/>
                <w:i/>
                <w:sz w:val="22"/>
                <w:szCs w:val="22"/>
              </w:rPr>
            </m:ctrlPr>
          </m:fPr>
          <m:num>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C</m:t>
                </m:r>
              </m:e>
              <m:sub>
                <m:r>
                  <w:rPr>
                    <w:rFonts w:ascii="Cambria Math" w:hAnsi="Cambria Math" w:cstheme="minorHAnsi"/>
                    <w:sz w:val="22"/>
                    <w:szCs w:val="22"/>
                  </w:rPr>
                  <m:t>o</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C</m:t>
                </m:r>
              </m:e>
              <m:sub>
                <m:r>
                  <w:rPr>
                    <w:rFonts w:ascii="Cambria Math" w:hAnsi="Cambria Math" w:cstheme="minorHAnsi"/>
                    <w:sz w:val="22"/>
                    <w:szCs w:val="22"/>
                  </w:rPr>
                  <m:t>e</m:t>
                </m:r>
              </m:sub>
            </m:sSub>
            <m:r>
              <w:rPr>
                <w:rFonts w:ascii="Cambria Math" w:hAnsi="Cambria Math" w:cstheme="minorHAnsi"/>
                <w:sz w:val="22"/>
                <w:szCs w:val="22"/>
              </w:rPr>
              <m:t>)</m:t>
            </m:r>
          </m:num>
          <m:den>
            <m:sSub>
              <m:sSubPr>
                <m:ctrlPr>
                  <w:rPr>
                    <w:rFonts w:ascii="Cambria Math" w:hAnsi="Cambria Math" w:cstheme="minorHAnsi"/>
                    <w:i/>
                    <w:sz w:val="22"/>
                    <w:szCs w:val="22"/>
                  </w:rPr>
                </m:ctrlPr>
              </m:sSubPr>
              <m:e>
                <m:r>
                  <w:rPr>
                    <w:rFonts w:ascii="Cambria Math" w:hAnsi="Cambria Math" w:cstheme="minorHAnsi"/>
                    <w:sz w:val="22"/>
                    <w:szCs w:val="22"/>
                  </w:rPr>
                  <m:t>C</m:t>
                </m:r>
              </m:e>
              <m:sub>
                <m:r>
                  <w:rPr>
                    <w:rFonts w:ascii="Cambria Math" w:hAnsi="Cambria Math" w:cstheme="minorHAnsi"/>
                    <w:sz w:val="22"/>
                    <w:szCs w:val="22"/>
                  </w:rPr>
                  <m:t>o</m:t>
                </m:r>
              </m:sub>
            </m:sSub>
          </m:den>
        </m:f>
        <m:r>
          <w:rPr>
            <w:rFonts w:ascii="Cambria Math" w:hAnsi="Cambria Math" w:cstheme="minorHAnsi"/>
            <w:sz w:val="22"/>
            <w:szCs w:val="22"/>
          </w:rPr>
          <m:t>*100%</m:t>
        </m:r>
      </m:oMath>
      <w:r w:rsidRPr="0095391C">
        <w:rPr>
          <w:rFonts w:asciiTheme="minorHAnsi" w:hAnsiTheme="minorHAnsi" w:cstheme="minorHAnsi"/>
          <w:sz w:val="22"/>
          <w:szCs w:val="22"/>
        </w:rPr>
        <w:t xml:space="preserve"> </w:t>
      </w:r>
      <w:r w:rsidRPr="0095391C">
        <w:rPr>
          <w:rFonts w:asciiTheme="minorHAnsi" w:hAnsiTheme="minorHAnsi" w:cstheme="minorHAnsi"/>
          <w:sz w:val="22"/>
          <w:szCs w:val="22"/>
        </w:rPr>
        <w:tab/>
      </w:r>
      <w:r w:rsidRPr="0095391C">
        <w:rPr>
          <w:rFonts w:asciiTheme="minorHAnsi" w:hAnsiTheme="minorHAnsi" w:cstheme="minorHAnsi"/>
          <w:sz w:val="22"/>
          <w:szCs w:val="22"/>
        </w:rPr>
        <w:tab/>
        <w:t>(2)</w:t>
      </w:r>
    </w:p>
    <w:p w14:paraId="48C0B988" w14:textId="77777777" w:rsidR="00637F64" w:rsidRPr="0095391C" w:rsidRDefault="00637F64" w:rsidP="00637F64">
      <w:pPr>
        <w:pStyle w:val="maintext"/>
        <w:widowControl w:val="0"/>
        <w:spacing w:line="276" w:lineRule="auto"/>
        <w:ind w:left="709" w:hanging="709"/>
        <w:rPr>
          <w:rFonts w:asciiTheme="minorHAnsi" w:hAnsiTheme="minorHAnsi" w:cstheme="minorHAnsi"/>
          <w:sz w:val="22"/>
          <w:szCs w:val="22"/>
        </w:rPr>
      </w:pPr>
      <w:r w:rsidRPr="0095391C">
        <w:rPr>
          <w:rFonts w:asciiTheme="minorHAnsi" w:hAnsiTheme="minorHAnsi" w:cstheme="minorHAnsi"/>
          <w:sz w:val="22"/>
          <w:szCs w:val="22"/>
        </w:rPr>
        <w:lastRenderedPageBreak/>
        <w:t>Where: Q</w:t>
      </w:r>
      <w:r w:rsidRPr="0095391C">
        <w:rPr>
          <w:rFonts w:asciiTheme="minorHAnsi" w:hAnsiTheme="minorHAnsi" w:cstheme="minorHAnsi"/>
          <w:sz w:val="22"/>
          <w:szCs w:val="22"/>
          <w:vertAlign w:val="subscript"/>
        </w:rPr>
        <w:t>e</w:t>
      </w:r>
      <w:r w:rsidRPr="0095391C">
        <w:rPr>
          <w:rFonts w:asciiTheme="minorHAnsi" w:hAnsiTheme="minorHAnsi" w:cstheme="minorHAnsi"/>
          <w:sz w:val="22"/>
          <w:szCs w:val="22"/>
        </w:rPr>
        <w:t xml:space="preserve"> (mg g</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is the adsorption capacity, C</w:t>
      </w:r>
      <w:r w:rsidRPr="0095391C">
        <w:rPr>
          <w:rFonts w:asciiTheme="minorHAnsi" w:hAnsiTheme="minorHAnsi" w:cstheme="minorHAnsi"/>
          <w:sz w:val="22"/>
          <w:szCs w:val="22"/>
          <w:vertAlign w:val="subscript"/>
        </w:rPr>
        <w:t>o</w:t>
      </w:r>
      <w:r w:rsidRPr="0095391C">
        <w:rPr>
          <w:rFonts w:asciiTheme="minorHAnsi" w:hAnsiTheme="minorHAnsi" w:cstheme="minorHAnsi"/>
          <w:sz w:val="22"/>
          <w:szCs w:val="22"/>
        </w:rPr>
        <w:t xml:space="preserve"> and Ce (mg L</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are the initial and final concentrations of glyphosate, m (g) is the mass of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 Inceptisols and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/Inceptisols and V (L) is the volume of the glyphosate solution.</w:t>
      </w:r>
    </w:p>
    <w:p w14:paraId="653760F3" w14:textId="77777777" w:rsidR="00637F64" w:rsidRPr="0095391C" w:rsidRDefault="00637F64" w:rsidP="00637F64">
      <w:pPr>
        <w:pStyle w:val="maintext"/>
        <w:widowControl w:val="0"/>
        <w:spacing w:line="276" w:lineRule="auto"/>
        <w:ind w:firstLine="0"/>
        <w:rPr>
          <w:rFonts w:asciiTheme="minorHAnsi" w:hAnsiTheme="minorHAnsi" w:cstheme="minorHAnsi"/>
          <w:sz w:val="22"/>
          <w:szCs w:val="22"/>
        </w:rPr>
      </w:pPr>
      <w:r w:rsidRPr="0095391C">
        <w:rPr>
          <w:rFonts w:asciiTheme="minorHAnsi" w:hAnsiTheme="minorHAnsi" w:cstheme="minorHAnsi"/>
          <w:sz w:val="22"/>
          <w:szCs w:val="22"/>
        </w:rPr>
        <w:t>Two isothermal models Langmuir and Freundlich were used to adjust the experimental data. Correspondingly, the following linearized forms of these models are applied for the adsorption isotherm Langmuir (Eq. 3) and Freundlich (Eq. 4).</w:t>
      </w:r>
    </w:p>
    <w:p w14:paraId="1E12CF58" w14:textId="456945AF" w:rsidR="00637F64" w:rsidRPr="0095391C" w:rsidRDefault="00E6258B" w:rsidP="00637F64">
      <w:pPr>
        <w:pStyle w:val="maintext"/>
        <w:widowControl w:val="0"/>
        <w:spacing w:line="276" w:lineRule="auto"/>
        <w:ind w:left="3402" w:firstLine="0"/>
        <w:rPr>
          <w:rFonts w:asciiTheme="minorHAnsi" w:hAnsiTheme="minorHAnsi" w:cstheme="minorHAnsi"/>
          <w:sz w:val="22"/>
          <w:szCs w:val="22"/>
        </w:rPr>
      </w:pPr>
      <m:oMath>
        <m:f>
          <m:fPr>
            <m:ctrlPr>
              <w:rPr>
                <w:rFonts w:ascii="Cambria Math" w:hAnsi="Cambria Math" w:cstheme="minorHAnsi"/>
                <w:i/>
                <w:sz w:val="22"/>
                <w:szCs w:val="22"/>
              </w:rPr>
            </m:ctrlPr>
          </m:fPr>
          <m:num>
            <m:r>
              <w:rPr>
                <w:rFonts w:ascii="Cambria Math" w:hAnsi="Cambria Math" w:cstheme="minorHAnsi"/>
                <w:sz w:val="22"/>
                <w:szCs w:val="22"/>
              </w:rPr>
              <m:t>1</m:t>
            </m:r>
          </m:num>
          <m:den>
            <m:sSub>
              <m:sSubPr>
                <m:ctrlPr>
                  <w:rPr>
                    <w:rFonts w:ascii="Cambria Math" w:hAnsi="Cambria Math" w:cstheme="minorHAnsi"/>
                    <w:i/>
                    <w:sz w:val="22"/>
                    <w:szCs w:val="22"/>
                  </w:rPr>
                </m:ctrlPr>
              </m:sSubPr>
              <m:e>
                <m:r>
                  <w:rPr>
                    <w:rFonts w:ascii="Cambria Math" w:hAnsi="Cambria Math" w:cstheme="minorHAnsi"/>
                    <w:sz w:val="22"/>
                    <w:szCs w:val="22"/>
                  </w:rPr>
                  <m:t>Q</m:t>
                </m:r>
              </m:e>
              <m:sub>
                <m:r>
                  <w:rPr>
                    <w:rFonts w:ascii="Cambria Math" w:hAnsi="Cambria Math" w:cstheme="minorHAnsi"/>
                    <w:sz w:val="22"/>
                    <w:szCs w:val="22"/>
                  </w:rPr>
                  <m:t>e</m:t>
                </m:r>
              </m:sub>
            </m:sSub>
          </m:den>
        </m:f>
      </m:oMath>
      <w:r w:rsidR="00637F64" w:rsidRPr="0095391C">
        <w:rPr>
          <w:rFonts w:asciiTheme="minorHAnsi" w:hAnsiTheme="minorHAnsi" w:cstheme="minorHAnsi"/>
          <w:sz w:val="22"/>
          <w:szCs w:val="22"/>
        </w:rPr>
        <w:t xml:space="preserve"> = </w:t>
      </w:r>
      <m:oMath>
        <m:f>
          <m:fPr>
            <m:ctrlPr>
              <w:rPr>
                <w:rFonts w:ascii="Cambria Math" w:hAnsi="Cambria Math" w:cstheme="minorHAnsi"/>
                <w:i/>
                <w:sz w:val="22"/>
                <w:szCs w:val="22"/>
              </w:rPr>
            </m:ctrlPr>
          </m:fPr>
          <m:num>
            <m:r>
              <w:rPr>
                <w:rFonts w:ascii="Cambria Math" w:hAnsi="Cambria Math" w:cstheme="minorHAnsi"/>
                <w:sz w:val="22"/>
                <w:szCs w:val="22"/>
              </w:rPr>
              <m:t>1</m:t>
            </m:r>
          </m:num>
          <m:den>
            <m:sSub>
              <m:sSubPr>
                <m:ctrlPr>
                  <w:rPr>
                    <w:rFonts w:ascii="Cambria Math" w:hAnsi="Cambria Math" w:cstheme="minorHAnsi"/>
                    <w:i/>
                    <w:sz w:val="22"/>
                    <w:szCs w:val="22"/>
                  </w:rPr>
                </m:ctrlPr>
              </m:sSubPr>
              <m:e>
                <m:r>
                  <w:rPr>
                    <w:rFonts w:ascii="Cambria Math" w:hAnsi="Cambria Math" w:cstheme="minorHAnsi"/>
                    <w:sz w:val="22"/>
                    <w:szCs w:val="22"/>
                  </w:rPr>
                  <m:t>Q</m:t>
                </m:r>
              </m:e>
              <m:sub>
                <m:r>
                  <w:rPr>
                    <w:rFonts w:ascii="Cambria Math" w:hAnsi="Cambria Math" w:cstheme="minorHAnsi"/>
                    <w:sz w:val="22"/>
                    <w:szCs w:val="22"/>
                  </w:rPr>
                  <m:t>m</m:t>
                </m:r>
              </m:sub>
            </m:sSub>
            <m:sSub>
              <m:sSubPr>
                <m:ctrlPr>
                  <w:rPr>
                    <w:rFonts w:ascii="Cambria Math" w:hAnsi="Cambria Math" w:cstheme="minorHAnsi"/>
                    <w:i/>
                    <w:sz w:val="22"/>
                    <w:szCs w:val="22"/>
                  </w:rPr>
                </m:ctrlPr>
              </m:sSubPr>
              <m:e>
                <m:r>
                  <w:rPr>
                    <w:rFonts w:ascii="Cambria Math" w:hAnsi="Cambria Math" w:cstheme="minorHAnsi"/>
                    <w:sz w:val="22"/>
                    <w:szCs w:val="22"/>
                  </w:rPr>
                  <m:t>C</m:t>
                </m:r>
              </m:e>
              <m:sub>
                <m:r>
                  <w:rPr>
                    <w:rFonts w:ascii="Cambria Math" w:hAnsi="Cambria Math" w:cstheme="minorHAnsi"/>
                    <w:sz w:val="22"/>
                    <w:szCs w:val="22"/>
                  </w:rPr>
                  <m:t>e</m:t>
                </m:r>
              </m:sub>
            </m:sSub>
            <m:sSub>
              <m:sSubPr>
                <m:ctrlPr>
                  <w:rPr>
                    <w:rFonts w:ascii="Cambria Math" w:hAnsi="Cambria Math" w:cstheme="minorHAnsi"/>
                    <w:i/>
                    <w:sz w:val="22"/>
                    <w:szCs w:val="22"/>
                  </w:rPr>
                </m:ctrlPr>
              </m:sSubPr>
              <m:e>
                <m:r>
                  <w:rPr>
                    <w:rFonts w:ascii="Cambria Math" w:hAnsi="Cambria Math" w:cstheme="minorHAnsi"/>
                    <w:sz w:val="22"/>
                    <w:szCs w:val="22"/>
                  </w:rPr>
                  <m:t>K</m:t>
                </m:r>
              </m:e>
              <m:sub>
                <m:r>
                  <w:rPr>
                    <w:rFonts w:ascii="Cambria Math" w:hAnsi="Cambria Math" w:cstheme="minorHAnsi"/>
                    <w:sz w:val="22"/>
                    <w:szCs w:val="22"/>
                  </w:rPr>
                  <m:t>L</m:t>
                </m:r>
              </m:sub>
            </m:sSub>
          </m:den>
        </m:f>
        <m: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1</m:t>
            </m:r>
          </m:num>
          <m:den>
            <m:sSub>
              <m:sSubPr>
                <m:ctrlPr>
                  <w:rPr>
                    <w:rFonts w:ascii="Cambria Math" w:hAnsi="Cambria Math" w:cstheme="minorHAnsi"/>
                    <w:i/>
                    <w:sz w:val="22"/>
                    <w:szCs w:val="22"/>
                  </w:rPr>
                </m:ctrlPr>
              </m:sSubPr>
              <m:e>
                <m:r>
                  <w:rPr>
                    <w:rFonts w:ascii="Cambria Math" w:hAnsi="Cambria Math" w:cstheme="minorHAnsi"/>
                    <w:sz w:val="22"/>
                    <w:szCs w:val="22"/>
                  </w:rPr>
                  <m:t>Q</m:t>
                </m:r>
              </m:e>
              <m:sub>
                <m:r>
                  <w:rPr>
                    <w:rFonts w:ascii="Cambria Math" w:hAnsi="Cambria Math" w:cstheme="minorHAnsi"/>
                    <w:sz w:val="22"/>
                    <w:szCs w:val="22"/>
                  </w:rPr>
                  <m:t>m</m:t>
                </m:r>
              </m:sub>
            </m:sSub>
          </m:den>
        </m:f>
      </m:oMath>
      <w:r w:rsidR="00637F64" w:rsidRPr="0095391C">
        <w:rPr>
          <w:rFonts w:asciiTheme="minorHAnsi" w:hAnsiTheme="minorHAnsi" w:cstheme="minorHAnsi"/>
          <w:sz w:val="22"/>
          <w:szCs w:val="22"/>
        </w:rPr>
        <w:t xml:space="preserve"> </w:t>
      </w:r>
      <w:r w:rsidR="00637F64" w:rsidRPr="0095391C">
        <w:rPr>
          <w:rFonts w:asciiTheme="minorHAnsi" w:hAnsiTheme="minorHAnsi" w:cstheme="minorHAnsi"/>
          <w:sz w:val="22"/>
          <w:szCs w:val="22"/>
        </w:rPr>
        <w:tab/>
      </w:r>
      <w:r w:rsidR="00637F64" w:rsidRPr="0095391C">
        <w:rPr>
          <w:rFonts w:asciiTheme="minorHAnsi" w:hAnsiTheme="minorHAnsi" w:cstheme="minorHAnsi"/>
          <w:sz w:val="22"/>
          <w:szCs w:val="22"/>
        </w:rPr>
        <w:tab/>
      </w:r>
      <w:r w:rsidR="00637F64" w:rsidRPr="0095391C">
        <w:rPr>
          <w:rFonts w:asciiTheme="minorHAnsi" w:hAnsiTheme="minorHAnsi" w:cstheme="minorHAnsi"/>
          <w:sz w:val="22"/>
          <w:szCs w:val="22"/>
        </w:rPr>
        <w:tab/>
        <w:t>(3)</w:t>
      </w:r>
    </w:p>
    <w:p w14:paraId="13DD1568" w14:textId="3E4D569F" w:rsidR="00637F64" w:rsidRPr="0095391C" w:rsidRDefault="00E6258B" w:rsidP="00637F64">
      <w:pPr>
        <w:pStyle w:val="maintext"/>
        <w:widowControl w:val="0"/>
        <w:spacing w:line="276" w:lineRule="auto"/>
        <w:ind w:left="3402" w:firstLine="0"/>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In</m:t>
            </m:r>
          </m:e>
          <m:sub>
            <m:sSub>
              <m:sSubPr>
                <m:ctrlPr>
                  <w:rPr>
                    <w:rFonts w:ascii="Cambria Math" w:hAnsi="Cambria Math" w:cstheme="minorHAnsi"/>
                    <w:i/>
                    <w:sz w:val="22"/>
                    <w:szCs w:val="22"/>
                  </w:rPr>
                </m:ctrlPr>
              </m:sSubPr>
              <m:e>
                <m:r>
                  <w:rPr>
                    <w:rFonts w:ascii="Cambria Math" w:hAnsi="Cambria Math" w:cstheme="minorHAnsi"/>
                    <w:sz w:val="22"/>
                    <w:szCs w:val="22"/>
                  </w:rPr>
                  <m:t>Q</m:t>
                </m:r>
              </m:e>
              <m:sub>
                <m:r>
                  <w:rPr>
                    <w:rFonts w:ascii="Cambria Math" w:hAnsi="Cambria Math" w:cstheme="minorHAnsi"/>
                    <w:sz w:val="22"/>
                    <w:szCs w:val="22"/>
                  </w:rPr>
                  <m:t>e</m:t>
                </m:r>
              </m:sub>
            </m:sSub>
          </m:sub>
        </m:sSub>
      </m:oMath>
      <w:r w:rsidR="00637F64" w:rsidRPr="0095391C">
        <w:rPr>
          <w:rFonts w:asciiTheme="minorHAnsi" w:hAnsiTheme="minorHAnsi" w:cstheme="minorHAnsi"/>
          <w:sz w:val="22"/>
          <w:szCs w:val="22"/>
        </w:rPr>
        <w:t xml:space="preserve"> = </w:t>
      </w:r>
      <m:oMath>
        <m:sSub>
          <m:sSubPr>
            <m:ctrlPr>
              <w:rPr>
                <w:rFonts w:ascii="Cambria Math" w:hAnsi="Cambria Math" w:cstheme="minorHAnsi"/>
                <w:i/>
                <w:sz w:val="22"/>
                <w:szCs w:val="22"/>
              </w:rPr>
            </m:ctrlPr>
          </m:sSubPr>
          <m:e>
            <m:r>
              <w:rPr>
                <w:rFonts w:ascii="Cambria Math" w:hAnsi="Cambria Math" w:cstheme="minorHAnsi"/>
                <w:sz w:val="22"/>
                <w:szCs w:val="22"/>
              </w:rPr>
              <m:t>In</m:t>
            </m:r>
          </m:e>
          <m:sub>
            <m:sSub>
              <m:sSubPr>
                <m:ctrlPr>
                  <w:rPr>
                    <w:rFonts w:ascii="Cambria Math" w:hAnsi="Cambria Math" w:cstheme="minorHAnsi"/>
                    <w:i/>
                    <w:sz w:val="22"/>
                    <w:szCs w:val="22"/>
                  </w:rPr>
                </m:ctrlPr>
              </m:sSubPr>
              <m:e>
                <m:r>
                  <w:rPr>
                    <w:rFonts w:ascii="Cambria Math" w:hAnsi="Cambria Math" w:cstheme="minorHAnsi"/>
                    <w:sz w:val="22"/>
                    <w:szCs w:val="22"/>
                  </w:rPr>
                  <m:t>K</m:t>
                </m:r>
              </m:e>
              <m:sub>
                <m:r>
                  <w:rPr>
                    <w:rFonts w:ascii="Cambria Math" w:hAnsi="Cambria Math" w:cstheme="minorHAnsi"/>
                    <w:sz w:val="22"/>
                    <w:szCs w:val="22"/>
                  </w:rPr>
                  <m:t>F</m:t>
                </m:r>
              </m:sub>
            </m:sSub>
          </m:sub>
        </m:sSub>
        <m: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1</m:t>
            </m:r>
          </m:num>
          <m:den>
            <m:r>
              <w:rPr>
                <w:rFonts w:ascii="Cambria Math" w:hAnsi="Cambria Math" w:cstheme="minorHAnsi"/>
                <w:sz w:val="22"/>
                <w:szCs w:val="22"/>
              </w:rPr>
              <m:t>n</m:t>
            </m:r>
          </m:den>
        </m:f>
        <m:sSub>
          <m:sSubPr>
            <m:ctrlPr>
              <w:rPr>
                <w:rFonts w:ascii="Cambria Math" w:hAnsi="Cambria Math" w:cstheme="minorHAnsi"/>
                <w:i/>
                <w:sz w:val="22"/>
                <w:szCs w:val="22"/>
              </w:rPr>
            </m:ctrlPr>
          </m:sSubPr>
          <m:e>
            <m:r>
              <w:rPr>
                <w:rFonts w:ascii="Cambria Math" w:hAnsi="Cambria Math" w:cstheme="minorHAnsi"/>
                <w:sz w:val="22"/>
                <w:szCs w:val="22"/>
              </w:rPr>
              <m:t>In</m:t>
            </m:r>
          </m:e>
          <m:sub>
            <m:sSub>
              <m:sSubPr>
                <m:ctrlPr>
                  <w:rPr>
                    <w:rFonts w:ascii="Cambria Math" w:hAnsi="Cambria Math" w:cstheme="minorHAnsi"/>
                    <w:i/>
                    <w:sz w:val="22"/>
                    <w:szCs w:val="22"/>
                  </w:rPr>
                </m:ctrlPr>
              </m:sSubPr>
              <m:e>
                <m:r>
                  <w:rPr>
                    <w:rFonts w:ascii="Cambria Math" w:hAnsi="Cambria Math" w:cstheme="minorHAnsi"/>
                    <w:sz w:val="22"/>
                    <w:szCs w:val="22"/>
                  </w:rPr>
                  <m:t>C</m:t>
                </m:r>
              </m:e>
              <m:sub>
                <m:r>
                  <w:rPr>
                    <w:rFonts w:ascii="Cambria Math" w:hAnsi="Cambria Math" w:cstheme="minorHAnsi"/>
                    <w:sz w:val="22"/>
                    <w:szCs w:val="22"/>
                  </w:rPr>
                  <m:t>e</m:t>
                </m:r>
              </m:sub>
            </m:sSub>
          </m:sub>
        </m:sSub>
      </m:oMath>
      <w:r w:rsidR="00637F64" w:rsidRPr="0095391C">
        <w:rPr>
          <w:rFonts w:asciiTheme="minorHAnsi" w:hAnsiTheme="minorHAnsi" w:cstheme="minorHAnsi"/>
          <w:sz w:val="22"/>
          <w:szCs w:val="22"/>
        </w:rPr>
        <w:t xml:space="preserve"> </w:t>
      </w:r>
      <w:r w:rsidR="00637F64" w:rsidRPr="0095391C">
        <w:rPr>
          <w:rFonts w:asciiTheme="minorHAnsi" w:hAnsiTheme="minorHAnsi" w:cstheme="minorHAnsi"/>
          <w:sz w:val="22"/>
          <w:szCs w:val="22"/>
        </w:rPr>
        <w:tab/>
      </w:r>
      <w:r w:rsidR="00637F64" w:rsidRPr="0095391C">
        <w:rPr>
          <w:rFonts w:asciiTheme="minorHAnsi" w:hAnsiTheme="minorHAnsi" w:cstheme="minorHAnsi"/>
          <w:sz w:val="22"/>
          <w:szCs w:val="22"/>
        </w:rPr>
        <w:tab/>
        <w:t>(4)</w:t>
      </w:r>
    </w:p>
    <w:p w14:paraId="238AEC22" w14:textId="586C6C3D" w:rsidR="00637F64" w:rsidRPr="0095391C" w:rsidRDefault="00637F64" w:rsidP="00637F64">
      <w:pPr>
        <w:tabs>
          <w:tab w:val="left" w:pos="851"/>
        </w:tabs>
        <w:spacing w:line="276" w:lineRule="auto"/>
        <w:ind w:left="851" w:hanging="851"/>
        <w:rPr>
          <w:rFonts w:asciiTheme="minorHAnsi" w:hAnsiTheme="minorHAnsi" w:cstheme="minorHAnsi"/>
        </w:rPr>
      </w:pPr>
      <w:r w:rsidRPr="0095391C">
        <w:rPr>
          <w:rFonts w:asciiTheme="minorHAnsi" w:hAnsiTheme="minorHAnsi" w:cstheme="minorHAnsi"/>
        </w:rPr>
        <w:t>Where: Ce (mg L</w:t>
      </w:r>
      <w:r w:rsidRPr="0095391C">
        <w:rPr>
          <w:rFonts w:asciiTheme="minorHAnsi" w:hAnsiTheme="minorHAnsi" w:cstheme="minorHAnsi"/>
          <w:vertAlign w:val="superscript"/>
        </w:rPr>
        <w:t>-1</w:t>
      </w:r>
      <w:r w:rsidRPr="0095391C">
        <w:rPr>
          <w:rFonts w:asciiTheme="minorHAnsi" w:hAnsiTheme="minorHAnsi" w:cstheme="minorHAnsi"/>
        </w:rPr>
        <w:t>) is the equilibrium concentration of glyphosate solution, Q</w:t>
      </w:r>
      <w:r w:rsidRPr="0095391C">
        <w:rPr>
          <w:rFonts w:asciiTheme="minorHAnsi" w:hAnsiTheme="minorHAnsi" w:cstheme="minorHAnsi"/>
          <w:vertAlign w:val="subscript"/>
        </w:rPr>
        <w:t>e</w:t>
      </w:r>
      <w:r w:rsidRPr="0095391C">
        <w:rPr>
          <w:rFonts w:asciiTheme="minorHAnsi" w:hAnsiTheme="minorHAnsi" w:cstheme="minorHAnsi"/>
        </w:rPr>
        <w:t xml:space="preserve"> and Q</w:t>
      </w:r>
      <w:r w:rsidRPr="0095391C">
        <w:rPr>
          <w:rFonts w:asciiTheme="minorHAnsi" w:hAnsiTheme="minorHAnsi" w:cstheme="minorHAnsi"/>
          <w:vertAlign w:val="subscript"/>
        </w:rPr>
        <w:t>m</w:t>
      </w:r>
      <w:r w:rsidRPr="0095391C">
        <w:rPr>
          <w:rFonts w:asciiTheme="minorHAnsi" w:hAnsiTheme="minorHAnsi" w:cstheme="minorHAnsi"/>
        </w:rPr>
        <w:t xml:space="preserve"> (mg g</w:t>
      </w:r>
      <w:r w:rsidRPr="0095391C">
        <w:rPr>
          <w:rFonts w:asciiTheme="minorHAnsi" w:hAnsiTheme="minorHAnsi" w:cstheme="minorHAnsi"/>
          <w:vertAlign w:val="superscript"/>
        </w:rPr>
        <w:t>-1</w:t>
      </w:r>
      <w:r w:rsidRPr="0095391C">
        <w:rPr>
          <w:rFonts w:asciiTheme="minorHAnsi" w:hAnsiTheme="minorHAnsi" w:cstheme="minorHAnsi"/>
        </w:rPr>
        <w:t>) are the amount adsorbed and maximum adsorption capacity respectively, K</w:t>
      </w:r>
      <w:r w:rsidRPr="0095391C">
        <w:rPr>
          <w:rFonts w:asciiTheme="minorHAnsi" w:hAnsiTheme="minorHAnsi" w:cstheme="minorHAnsi"/>
          <w:vertAlign w:val="subscript"/>
        </w:rPr>
        <w:t>L</w:t>
      </w:r>
      <w:r w:rsidRPr="0095391C">
        <w:rPr>
          <w:rFonts w:asciiTheme="minorHAnsi" w:hAnsiTheme="minorHAnsi" w:cstheme="minorHAnsi"/>
        </w:rPr>
        <w:t xml:space="preserve"> is the Langmuir constant (L mg</w:t>
      </w:r>
      <w:r w:rsidRPr="0095391C">
        <w:rPr>
          <w:rFonts w:asciiTheme="minorHAnsi" w:hAnsiTheme="minorHAnsi" w:cstheme="minorHAnsi"/>
          <w:vertAlign w:val="superscript"/>
        </w:rPr>
        <w:t>-1</w:t>
      </w:r>
      <w:r w:rsidRPr="0095391C">
        <w:rPr>
          <w:rFonts w:asciiTheme="minorHAnsi" w:hAnsiTheme="minorHAnsi" w:cstheme="minorHAnsi"/>
        </w:rPr>
        <w:t xml:space="preserve"> ); K</w:t>
      </w:r>
      <w:r w:rsidRPr="0095391C">
        <w:rPr>
          <w:rFonts w:asciiTheme="minorHAnsi" w:hAnsiTheme="minorHAnsi" w:cstheme="minorHAnsi"/>
          <w:vertAlign w:val="subscript"/>
        </w:rPr>
        <w:t>F</w:t>
      </w:r>
      <w:r w:rsidR="007D3359" w:rsidRPr="0095391C">
        <w:rPr>
          <w:rFonts w:asciiTheme="minorHAnsi" w:hAnsiTheme="minorHAnsi" w:cstheme="minorHAnsi"/>
        </w:rPr>
        <w:t xml:space="preserve"> </w:t>
      </w:r>
      <w:r w:rsidR="007D3359" w:rsidRPr="0095391C">
        <w:rPr>
          <w:rFonts w:asciiTheme="minorHAnsi" w:hAnsiTheme="minorHAnsi" w:cstheme="minorHAnsi"/>
          <w:lang w:val="en-US"/>
        </w:rPr>
        <w:t>[</w:t>
      </w:r>
      <w:r w:rsidRPr="0095391C">
        <w:rPr>
          <w:rFonts w:asciiTheme="minorHAnsi" w:hAnsiTheme="minorHAnsi" w:cstheme="minorHAnsi"/>
        </w:rPr>
        <w:t>(mg g</w:t>
      </w:r>
      <w:r w:rsidRPr="0095391C">
        <w:rPr>
          <w:rFonts w:asciiTheme="minorHAnsi" w:hAnsiTheme="minorHAnsi" w:cstheme="minorHAnsi"/>
          <w:vertAlign w:val="superscript"/>
        </w:rPr>
        <w:t>-1</w:t>
      </w:r>
      <w:r w:rsidRPr="0095391C">
        <w:rPr>
          <w:rFonts w:asciiTheme="minorHAnsi" w:hAnsiTheme="minorHAnsi" w:cstheme="minorHAnsi"/>
        </w:rPr>
        <w:t xml:space="preserve"> )/(mg L</w:t>
      </w:r>
      <w:r w:rsidRPr="0095391C">
        <w:rPr>
          <w:rFonts w:asciiTheme="minorHAnsi" w:hAnsiTheme="minorHAnsi" w:cstheme="minorHAnsi"/>
          <w:vertAlign w:val="superscript"/>
        </w:rPr>
        <w:t>-1</w:t>
      </w:r>
      <w:r w:rsidRPr="0095391C">
        <w:rPr>
          <w:rFonts w:asciiTheme="minorHAnsi" w:hAnsiTheme="minorHAnsi" w:cstheme="minorHAnsi"/>
        </w:rPr>
        <w:t>)</w:t>
      </w:r>
      <w:r w:rsidRPr="0095391C">
        <w:rPr>
          <w:rFonts w:asciiTheme="minorHAnsi" w:hAnsiTheme="minorHAnsi" w:cstheme="minorHAnsi"/>
          <w:vertAlign w:val="superscript"/>
        </w:rPr>
        <w:t>n</w:t>
      </w:r>
      <w:r w:rsidR="007D3359" w:rsidRPr="0095391C">
        <w:rPr>
          <w:rFonts w:asciiTheme="minorHAnsi" w:hAnsiTheme="minorHAnsi" w:cstheme="minorHAnsi"/>
          <w:lang w:val="en-US"/>
        </w:rPr>
        <w:t>]</w:t>
      </w:r>
      <w:r w:rsidRPr="0095391C">
        <w:rPr>
          <w:rFonts w:asciiTheme="minorHAnsi" w:hAnsiTheme="minorHAnsi" w:cstheme="minorHAnsi"/>
        </w:rPr>
        <w:t xml:space="preserve"> is the Freundlich affinity coefficient and n is a measure of adsorption linearity. </w:t>
      </w:r>
    </w:p>
    <w:p w14:paraId="1BF7E241" w14:textId="77777777" w:rsidR="00FA7473" w:rsidRPr="0095391C" w:rsidRDefault="00FA7473" w:rsidP="00D73146">
      <w:pPr>
        <w:pStyle w:val="BodyText"/>
        <w:spacing w:beforeLines="0" w:after="0" w:line="240" w:lineRule="auto"/>
        <w:rPr>
          <w:rFonts w:ascii="Calibri" w:hAnsi="Calibri" w:cs="Calibri"/>
          <w:b/>
          <w:sz w:val="22"/>
        </w:rPr>
      </w:pPr>
    </w:p>
    <w:p w14:paraId="0FAF9728" w14:textId="77777777" w:rsidR="00FA7473" w:rsidRPr="0095391C" w:rsidRDefault="00FA7473" w:rsidP="004A6FA1">
      <w:pPr>
        <w:pStyle w:val="BodyText"/>
        <w:spacing w:beforeLines="0" w:after="0" w:line="276" w:lineRule="auto"/>
        <w:rPr>
          <w:rFonts w:ascii="Calibri" w:hAnsi="Calibri" w:cs="Calibri"/>
          <w:b/>
          <w:sz w:val="22"/>
          <w:lang w:val="en-GB"/>
        </w:rPr>
      </w:pPr>
      <w:r w:rsidRPr="0095391C">
        <w:rPr>
          <w:rFonts w:ascii="Calibri" w:hAnsi="Calibri" w:cs="Calibri"/>
          <w:b/>
          <w:sz w:val="22"/>
        </w:rPr>
        <w:t xml:space="preserve">RESULTS </w:t>
      </w:r>
    </w:p>
    <w:p w14:paraId="4EB76CAF" w14:textId="1E91CD44" w:rsidR="008D18BD" w:rsidRPr="0095391C" w:rsidRDefault="00E47701" w:rsidP="008D18BD">
      <w:pPr>
        <w:pStyle w:val="Heading2"/>
        <w:tabs>
          <w:tab w:val="left" w:pos="720"/>
        </w:tabs>
        <w:autoSpaceDE w:val="0"/>
        <w:autoSpaceDN w:val="0"/>
        <w:spacing w:before="0" w:line="276" w:lineRule="auto"/>
        <w:rPr>
          <w:rFonts w:asciiTheme="minorHAnsi" w:eastAsia="MS Mincho" w:hAnsiTheme="minorHAnsi" w:cstheme="minorHAnsi"/>
          <w:bCs w:val="0"/>
          <w:color w:val="000000" w:themeColor="text1"/>
          <w:sz w:val="22"/>
          <w:szCs w:val="22"/>
        </w:rPr>
      </w:pPr>
      <w:r w:rsidRPr="0095391C">
        <w:rPr>
          <w:rFonts w:asciiTheme="minorHAnsi" w:eastAsia="MS Mincho" w:hAnsiTheme="minorHAnsi" w:cstheme="minorHAnsi"/>
          <w:color w:val="000000" w:themeColor="text1"/>
          <w:sz w:val="22"/>
          <w:szCs w:val="22"/>
          <w:lang w:eastAsia="ja-JP"/>
        </w:rPr>
        <w:t>4.1</w:t>
      </w:r>
      <w:r w:rsidRPr="0095391C">
        <w:rPr>
          <w:rFonts w:asciiTheme="minorHAnsi" w:eastAsia="MS Mincho" w:hAnsiTheme="minorHAnsi" w:cstheme="minorHAnsi"/>
          <w:color w:val="000000" w:themeColor="text1"/>
          <w:sz w:val="22"/>
          <w:szCs w:val="22"/>
          <w:lang w:val="en-US" w:eastAsia="ja-JP"/>
        </w:rPr>
        <w:t xml:space="preserve"> </w:t>
      </w:r>
      <w:r w:rsidR="008D18BD" w:rsidRPr="0095391C">
        <w:rPr>
          <w:rFonts w:asciiTheme="minorHAnsi" w:eastAsia="MS Mincho" w:hAnsiTheme="minorHAnsi" w:cstheme="minorHAnsi"/>
          <w:color w:val="000000" w:themeColor="text1"/>
          <w:sz w:val="22"/>
          <w:szCs w:val="22"/>
          <w:lang w:eastAsia="ja-JP"/>
        </w:rPr>
        <w:t xml:space="preserve">Characteristics </w:t>
      </w:r>
      <w:r w:rsidR="008D18BD" w:rsidRPr="0095391C">
        <w:rPr>
          <w:rFonts w:asciiTheme="minorHAnsi" w:eastAsia="MS Mincho" w:hAnsiTheme="minorHAnsi" w:cstheme="minorHAnsi"/>
          <w:color w:val="000000" w:themeColor="text1"/>
          <w:sz w:val="22"/>
          <w:szCs w:val="22"/>
          <w:lang w:val="en-US" w:eastAsia="ja-JP"/>
        </w:rPr>
        <w:t>o</w:t>
      </w:r>
      <w:r w:rsidR="008D18BD" w:rsidRPr="0095391C">
        <w:rPr>
          <w:rFonts w:asciiTheme="minorHAnsi" w:eastAsia="MS Mincho" w:hAnsiTheme="minorHAnsi" w:cstheme="minorHAnsi"/>
          <w:color w:val="000000" w:themeColor="text1"/>
          <w:sz w:val="22"/>
          <w:szCs w:val="22"/>
          <w:lang w:eastAsia="ja-JP"/>
        </w:rPr>
        <w:t>f I</w:t>
      </w:r>
      <w:r w:rsidR="008D18BD" w:rsidRPr="0095391C">
        <w:rPr>
          <w:rFonts w:asciiTheme="minorHAnsi" w:eastAsia="MS Mincho" w:hAnsiTheme="minorHAnsi" w:cstheme="minorHAnsi"/>
          <w:color w:val="000000" w:themeColor="text1"/>
          <w:sz w:val="22"/>
          <w:szCs w:val="22"/>
        </w:rPr>
        <w:t>nfrared Spectroscopy</w:t>
      </w:r>
    </w:p>
    <w:p w14:paraId="49C1787B" w14:textId="459A859C" w:rsidR="008D18BD" w:rsidRPr="0095391C" w:rsidRDefault="008D18BD" w:rsidP="008D18BD">
      <w:pPr>
        <w:tabs>
          <w:tab w:val="left" w:pos="720"/>
        </w:tabs>
        <w:spacing w:before="0" w:line="276" w:lineRule="auto"/>
        <w:rPr>
          <w:rFonts w:asciiTheme="minorHAnsi" w:hAnsiTheme="minorHAnsi" w:cstheme="minorHAnsi"/>
          <w:lang w:val="en-US"/>
        </w:rPr>
      </w:pPr>
      <w:r w:rsidRPr="0095391C">
        <w:rPr>
          <w:rFonts w:asciiTheme="minorHAnsi" w:hAnsiTheme="minorHAnsi" w:cstheme="minorHAnsi"/>
        </w:rPr>
        <w:t>The FT-IR spectrum obtained from Inceptisols and RH</w:t>
      </w:r>
      <w:r w:rsidRPr="0095391C">
        <w:rPr>
          <w:rFonts w:asciiTheme="minorHAnsi" w:hAnsiTheme="minorHAnsi" w:cstheme="minorHAnsi"/>
          <w:vertAlign w:val="subscript"/>
        </w:rPr>
        <w:t>B</w:t>
      </w:r>
      <w:r w:rsidR="00352EB3" w:rsidRPr="0095391C">
        <w:rPr>
          <w:rFonts w:asciiTheme="minorHAnsi" w:hAnsiTheme="minorHAnsi" w:cstheme="minorHAnsi"/>
          <w:lang w:val="en-US"/>
        </w:rPr>
        <w:t>/Ept</w:t>
      </w:r>
      <w:r w:rsidRPr="0095391C">
        <w:rPr>
          <w:rFonts w:asciiTheme="minorHAnsi" w:hAnsiTheme="minorHAnsi" w:cstheme="minorHAnsi"/>
        </w:rPr>
        <w:t xml:space="preserve"> can be seen in Figure </w:t>
      </w:r>
      <w:r w:rsidR="00F31F89" w:rsidRPr="0095391C">
        <w:rPr>
          <w:rFonts w:asciiTheme="minorHAnsi" w:hAnsiTheme="minorHAnsi" w:cstheme="minorHAnsi"/>
          <w:lang w:val="en-US"/>
        </w:rPr>
        <w:t xml:space="preserve">2, </w:t>
      </w:r>
      <w:r w:rsidRPr="0095391C">
        <w:rPr>
          <w:rFonts w:asciiTheme="minorHAnsi" w:hAnsiTheme="minorHAnsi" w:cstheme="minorHAnsi"/>
        </w:rPr>
        <w:t>3</w:t>
      </w:r>
      <w:r w:rsidR="00F31F89" w:rsidRPr="0095391C">
        <w:rPr>
          <w:rFonts w:asciiTheme="minorHAnsi" w:hAnsiTheme="minorHAnsi" w:cstheme="minorHAnsi"/>
          <w:lang w:val="en-US"/>
        </w:rPr>
        <w:t xml:space="preserve"> and Table 1</w:t>
      </w:r>
      <w:r w:rsidRPr="0095391C">
        <w:rPr>
          <w:rFonts w:asciiTheme="minorHAnsi" w:hAnsiTheme="minorHAnsi" w:cstheme="minorHAnsi"/>
        </w:rPr>
        <w:t>. The FT-IR spectrum of Inceptisols revealed a band at 1022.11 cm</w:t>
      </w:r>
      <w:r w:rsidRPr="0095391C">
        <w:rPr>
          <w:rFonts w:asciiTheme="minorHAnsi" w:hAnsiTheme="minorHAnsi" w:cstheme="minorHAnsi"/>
          <w:vertAlign w:val="superscript"/>
        </w:rPr>
        <w:t>-1</w:t>
      </w:r>
      <w:r w:rsidRPr="0095391C">
        <w:rPr>
          <w:rFonts w:asciiTheme="minorHAnsi" w:hAnsiTheme="minorHAnsi" w:cstheme="minorHAnsi"/>
        </w:rPr>
        <w:t>/66.40% could be attributed to at 3282.05 cm</w:t>
      </w:r>
      <w:r w:rsidRPr="0095391C">
        <w:rPr>
          <w:rFonts w:asciiTheme="minorHAnsi" w:hAnsiTheme="minorHAnsi" w:cstheme="minorHAnsi"/>
          <w:vertAlign w:val="superscript"/>
        </w:rPr>
        <w:t>-1</w:t>
      </w:r>
      <w:r w:rsidRPr="0095391C">
        <w:rPr>
          <w:rFonts w:asciiTheme="minorHAnsi" w:hAnsiTheme="minorHAnsi" w:cstheme="minorHAnsi"/>
        </w:rPr>
        <w:t>/ 88.44% which could be assigned to the internal and internal hydroxyl group strain vibrations The band at 1629.91 cm</w:t>
      </w:r>
      <w:r w:rsidRPr="0095391C">
        <w:rPr>
          <w:rFonts w:asciiTheme="minorHAnsi" w:hAnsiTheme="minorHAnsi" w:cstheme="minorHAnsi"/>
          <w:vertAlign w:val="superscript"/>
        </w:rPr>
        <w:t>-1</w:t>
      </w:r>
      <w:r w:rsidRPr="0095391C">
        <w:rPr>
          <w:rFonts w:asciiTheme="minorHAnsi" w:hAnsiTheme="minorHAnsi" w:cstheme="minorHAnsi"/>
        </w:rPr>
        <w:t>/ 88.95% is associated with deformation vibrations of water absorbed at the clay interlayer and is associated with strain vibrations of C-O and C-C, corresponding to carbonyl and aromatic rings. The FTIR band at 546.79 cm</w:t>
      </w:r>
      <w:r w:rsidRPr="0095391C">
        <w:rPr>
          <w:rFonts w:asciiTheme="minorHAnsi" w:hAnsiTheme="minorHAnsi" w:cstheme="minorHAnsi"/>
          <w:vertAlign w:val="superscript"/>
        </w:rPr>
        <w:t>-1</w:t>
      </w:r>
      <w:r w:rsidRPr="0095391C">
        <w:rPr>
          <w:rFonts w:asciiTheme="minorHAnsi" w:hAnsiTheme="minorHAnsi" w:cstheme="minorHAnsi"/>
        </w:rPr>
        <w:t>/50.50% was associated with the stretching of Si-O-Al bon</w:t>
      </w:r>
      <w:r w:rsidR="00352EB3" w:rsidRPr="0095391C">
        <w:rPr>
          <w:rFonts w:asciiTheme="minorHAnsi" w:hAnsiTheme="minorHAnsi" w:cstheme="minorHAnsi"/>
        </w:rPr>
        <w:t>ds (</w:t>
      </w:r>
      <w:r w:rsidR="00352EB3" w:rsidRPr="0095391C">
        <w:rPr>
          <w:rFonts w:asciiTheme="minorHAnsi" w:hAnsiTheme="minorHAnsi" w:cstheme="minorHAnsi"/>
          <w:lang w:val="en-US"/>
        </w:rPr>
        <w:t xml:space="preserve">Mineral e.g </w:t>
      </w:r>
      <w:r w:rsidR="00352EB3" w:rsidRPr="0095391C">
        <w:rPr>
          <w:rFonts w:asciiTheme="minorHAnsi" w:hAnsiTheme="minorHAnsi" w:cstheme="minorHAnsi"/>
        </w:rPr>
        <w:t>kaolinite and smectite</w:t>
      </w:r>
      <w:r w:rsidR="00352EB3" w:rsidRPr="0095391C">
        <w:rPr>
          <w:rFonts w:asciiTheme="minorHAnsi" w:hAnsiTheme="minorHAnsi" w:cstheme="minorHAnsi"/>
          <w:lang w:val="en-US"/>
        </w:rPr>
        <w:t>)</w:t>
      </w:r>
      <w:r w:rsidRPr="0095391C">
        <w:rPr>
          <w:rFonts w:asciiTheme="minorHAnsi" w:hAnsiTheme="minorHAnsi" w:cstheme="minorHAnsi"/>
        </w:rPr>
        <w:t>. The functional group that appeared the alcoholic C-O strain and aromatic C-H bending vibrations.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A5452" w:rsidRPr="0095391C" w14:paraId="67D266BA" w14:textId="77777777" w:rsidTr="00BA5452">
        <w:tc>
          <w:tcPr>
            <w:tcW w:w="4621" w:type="dxa"/>
          </w:tcPr>
          <w:p w14:paraId="2743CFC8" w14:textId="7300BCCB" w:rsidR="00BA5452" w:rsidRPr="0095391C" w:rsidRDefault="00BA5452" w:rsidP="00BA5452">
            <w:pPr>
              <w:tabs>
                <w:tab w:val="left" w:pos="720"/>
              </w:tabs>
              <w:spacing w:before="0"/>
            </w:pPr>
            <w:r w:rsidRPr="0095391C">
              <w:rPr>
                <w:noProof/>
                <w:sz w:val="24"/>
                <w:szCs w:val="24"/>
                <w:lang w:val="en-US"/>
              </w:rPr>
              <mc:AlternateContent>
                <mc:Choice Requires="wps">
                  <w:drawing>
                    <wp:anchor distT="0" distB="0" distL="114300" distR="114300" simplePos="0" relativeHeight="251695104" behindDoc="0" locked="0" layoutInCell="1" allowOverlap="1" wp14:anchorId="27839D7D" wp14:editId="42A6AAC2">
                      <wp:simplePos x="0" y="0"/>
                      <wp:positionH relativeFrom="column">
                        <wp:posOffset>314325</wp:posOffset>
                      </wp:positionH>
                      <wp:positionV relativeFrom="paragraph">
                        <wp:posOffset>733425</wp:posOffset>
                      </wp:positionV>
                      <wp:extent cx="438150" cy="234315"/>
                      <wp:effectExtent l="0" t="0" r="0" b="57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34315"/>
                              </a:xfrm>
                              <a:prstGeom prst="rect">
                                <a:avLst/>
                              </a:prstGeom>
                              <a:noFill/>
                              <a:ln w="9525">
                                <a:noFill/>
                                <a:miter lim="800000"/>
                                <a:headEnd/>
                                <a:tailEnd/>
                              </a:ln>
                            </wps:spPr>
                            <wps:txbx>
                              <w:txbxContent>
                                <w:p w14:paraId="160689D8" w14:textId="4CE197A0" w:rsidR="00BA5452" w:rsidRPr="00BA5452" w:rsidRDefault="00BA5452" w:rsidP="00BA5452">
                                  <w:pPr>
                                    <w:jc w:val="center"/>
                                    <w:rPr>
                                      <w:b/>
                                      <w:lang w:val="en-US"/>
                                    </w:rPr>
                                  </w:pPr>
                                  <w:r w:rsidRPr="00E47701">
                                    <w:rPr>
                                      <w:b/>
                                    </w:rPr>
                                    <w:t>A</w:t>
                                  </w:r>
                                  <w:r>
                                    <w:rPr>
                                      <w:b/>
                                      <w:lang w:val="en-US"/>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839D7D" id="_x0000_t202" coordsize="21600,21600" o:spt="202" path="m,l,21600r21600,l21600,xe">
                      <v:stroke joinstyle="miter"/>
                      <v:path gradientshapeok="t" o:connecttype="rect"/>
                    </v:shapetype>
                    <v:shape id="Text Box 22" o:spid="_x0000_s1026" type="#_x0000_t202" style="position:absolute;left:0;text-align:left;margin-left:24.75pt;margin-top:57.75pt;width:34.5pt;height:18.4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" filled="f" stroked="f">
                      <v:textbox style="mso-fit-shape-to-text:t">
                        <w:txbxContent>
                          <w:p w14:paraId="160689D8" w14:textId="4CE197A0" w:rsidR="00BA5452" w:rsidRPr="00BA5452" w:rsidRDefault="00BA5452" w:rsidP="00BA5452">
                            <w:pPr>
                              <w:jc w:val="center"/>
                              <w:rPr>
                                <w:b/>
                                <w:lang w:val="en-US"/>
                              </w:rPr>
                            </w:pPr>
                            <w:r w:rsidRPr="00E47701">
                              <w:rPr>
                                <w:b/>
                              </w:rPr>
                              <w:t>A</w:t>
                            </w:r>
                            <w:r>
                              <w:rPr>
                                <w:b/>
                                <w:lang w:val="en-US"/>
                              </w:rPr>
                              <w:t>1</w:t>
                            </w:r>
                          </w:p>
                        </w:txbxContent>
                      </v:textbox>
                    </v:shape>
                  </w:pict>
                </mc:Fallback>
              </mc:AlternateContent>
            </w:r>
            <w:r w:rsidRPr="0095391C">
              <w:rPr>
                <w:noProof/>
                <w:lang w:val="en-US"/>
              </w:rPr>
              <mc:AlternateContent>
                <mc:Choice Requires="wps">
                  <w:drawing>
                    <wp:anchor distT="0" distB="0" distL="114300" distR="114300" simplePos="0" relativeHeight="251694080" behindDoc="0" locked="0" layoutInCell="1" allowOverlap="1" wp14:anchorId="78715FFD" wp14:editId="7E57A609">
                      <wp:simplePos x="0" y="0"/>
                      <wp:positionH relativeFrom="column">
                        <wp:posOffset>1581150</wp:posOffset>
                      </wp:positionH>
                      <wp:positionV relativeFrom="paragraph">
                        <wp:posOffset>69850</wp:posOffset>
                      </wp:positionV>
                      <wp:extent cx="742950" cy="2642235"/>
                      <wp:effectExtent l="0" t="0" r="19050" b="2476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642235"/>
                              </a:xfrm>
                              <a:prstGeom prst="rect">
                                <a:avLst/>
                              </a:prstGeom>
                              <a:noFill/>
                              <a:ln w="9525">
                                <a:solidFill>
                                  <a:srgbClr val="00B0F0"/>
                                </a:solidFill>
                                <a:prstDash val="dash"/>
                                <a:miter lim="800000"/>
                                <a:headEnd/>
                                <a:tailEnd/>
                              </a:ln>
                            </wps:spPr>
                            <wps:txbx>
                              <w:txbxContent>
                                <w:p w14:paraId="13E2E569" w14:textId="77777777" w:rsidR="00BA5452" w:rsidRDefault="00BA5452" w:rsidP="00BA5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715FFD" id="Text Box 308" o:spid="_x0000_s1027" type="#_x0000_t202" style="position:absolute;left:0;text-align:left;margin-left:124.5pt;margin-top:5.5pt;width:58.5pt;height:208.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" filled="f" strokecolor="#00b0f0">
                      <v:stroke dashstyle="dash"/>
                      <v:textbox>
                        <w:txbxContent>
                          <w:p w14:paraId="13E2E569" w14:textId="77777777" w:rsidR="00BA5452" w:rsidRDefault="00BA5452" w:rsidP="00BA5452"/>
                        </w:txbxContent>
                      </v:textbox>
                    </v:shape>
                  </w:pict>
                </mc:Fallback>
              </mc:AlternateContent>
            </w:r>
            <w:r w:rsidRPr="0095391C">
              <w:rPr>
                <w:rFonts w:cs="Calibri"/>
                <w:noProof/>
                <w:lang w:val="en-US"/>
              </w:rPr>
              <w:drawing>
                <wp:inline distT="0" distB="0" distL="0" distR="0" wp14:anchorId="3169F829" wp14:editId="37534868">
                  <wp:extent cx="2609850" cy="1371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6">
                            <a:extLst>
                              <a:ext uri="{28A0092B-C50C-407E-A947-70E740481C1C}">
                                <a14:useLocalDpi xmlns:a14="http://schemas.microsoft.com/office/drawing/2010/main" val="0"/>
                              </a:ext>
                            </a:extLst>
                          </a:blip>
                          <a:srcRect b="9026"/>
                          <a:stretch>
                            <a:fillRect/>
                          </a:stretch>
                        </pic:blipFill>
                        <pic:spPr bwMode="auto">
                          <a:xfrm>
                            <a:off x="0" y="0"/>
                            <a:ext cx="2609850" cy="1371600"/>
                          </a:xfrm>
                          <a:prstGeom prst="rect">
                            <a:avLst/>
                          </a:prstGeom>
                          <a:noFill/>
                          <a:ln>
                            <a:noFill/>
                          </a:ln>
                        </pic:spPr>
                      </pic:pic>
                    </a:graphicData>
                  </a:graphic>
                </wp:inline>
              </w:drawing>
            </w:r>
          </w:p>
          <w:p w14:paraId="122CEC72" w14:textId="4D72A563" w:rsidR="00BA5452" w:rsidRPr="0095391C" w:rsidRDefault="00BA5452" w:rsidP="00BA5452">
            <w:pPr>
              <w:tabs>
                <w:tab w:val="left" w:pos="720"/>
              </w:tabs>
              <w:spacing w:before="0"/>
              <w:rPr>
                <w:lang w:val="en-US"/>
              </w:rPr>
            </w:pPr>
            <w:r w:rsidRPr="0095391C">
              <w:rPr>
                <w:noProof/>
                <w:sz w:val="24"/>
                <w:szCs w:val="24"/>
                <w:lang w:val="en-US"/>
              </w:rPr>
              <mc:AlternateContent>
                <mc:Choice Requires="wps">
                  <w:drawing>
                    <wp:anchor distT="0" distB="0" distL="114300" distR="114300" simplePos="0" relativeHeight="251703296" behindDoc="0" locked="0" layoutInCell="1" allowOverlap="1" wp14:anchorId="0895270D" wp14:editId="423F987D">
                      <wp:simplePos x="0" y="0"/>
                      <wp:positionH relativeFrom="column">
                        <wp:posOffset>314325</wp:posOffset>
                      </wp:positionH>
                      <wp:positionV relativeFrom="paragraph">
                        <wp:posOffset>787400</wp:posOffset>
                      </wp:positionV>
                      <wp:extent cx="438150" cy="234315"/>
                      <wp:effectExtent l="0" t="0" r="0" b="571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34315"/>
                              </a:xfrm>
                              <a:prstGeom prst="rect">
                                <a:avLst/>
                              </a:prstGeom>
                              <a:noFill/>
                              <a:ln w="9525">
                                <a:noFill/>
                                <a:miter lim="800000"/>
                                <a:headEnd/>
                                <a:tailEnd/>
                              </a:ln>
                            </wps:spPr>
                            <wps:txbx>
                              <w:txbxContent>
                                <w:p w14:paraId="3EE7D0F4" w14:textId="28D376C0" w:rsidR="00BA5452" w:rsidRPr="00BA5452" w:rsidRDefault="00BA5452" w:rsidP="00BA5452">
                                  <w:pPr>
                                    <w:jc w:val="center"/>
                                    <w:rPr>
                                      <w:b/>
                                      <w:lang w:val="en-US"/>
                                    </w:rPr>
                                  </w:pPr>
                                  <w:r w:rsidRPr="00E47701">
                                    <w:rPr>
                                      <w:b/>
                                    </w:rPr>
                                    <w:t>A</w:t>
                                  </w:r>
                                  <w:r>
                                    <w:rPr>
                                      <w:b/>
                                      <w:lang w:val="en-US"/>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95270D" id="Text Box 307" o:spid="_x0000_s1028" type="#_x0000_t202" style="position:absolute;left:0;text-align:left;margin-left:24.75pt;margin-top:62pt;width:34.5pt;height:18.45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" filled="f" stroked="f">
                      <v:textbox style="mso-fit-shape-to-text:t">
                        <w:txbxContent>
                          <w:p w14:paraId="3EE7D0F4" w14:textId="28D376C0" w:rsidR="00BA5452" w:rsidRPr="00BA5452" w:rsidRDefault="00BA5452" w:rsidP="00BA5452">
                            <w:pPr>
                              <w:jc w:val="center"/>
                              <w:rPr>
                                <w:b/>
                                <w:lang w:val="en-US"/>
                              </w:rPr>
                            </w:pPr>
                            <w:r w:rsidRPr="00E47701">
                              <w:rPr>
                                <w:b/>
                              </w:rPr>
                              <w:t>A</w:t>
                            </w:r>
                            <w:r>
                              <w:rPr>
                                <w:b/>
                                <w:lang w:val="en-US"/>
                              </w:rPr>
                              <w:t>2</w:t>
                            </w:r>
                          </w:p>
                        </w:txbxContent>
                      </v:textbox>
                    </v:shape>
                  </w:pict>
                </mc:Fallback>
              </mc:AlternateContent>
            </w:r>
            <w:r w:rsidRPr="0095391C">
              <w:rPr>
                <w:rFonts w:cs="Calibri"/>
                <w:noProof/>
                <w:lang w:val="en-US"/>
              </w:rPr>
              <w:drawing>
                <wp:inline distT="0" distB="0" distL="0" distR="0" wp14:anchorId="005F962E" wp14:editId="02764049">
                  <wp:extent cx="2609850" cy="14192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17">
                            <a:extLst>
                              <a:ext uri="{28A0092B-C50C-407E-A947-70E740481C1C}">
                                <a14:useLocalDpi xmlns:a14="http://schemas.microsoft.com/office/drawing/2010/main" val="0"/>
                              </a:ext>
                            </a:extLst>
                          </a:blip>
                          <a:srcRect b="8424"/>
                          <a:stretch>
                            <a:fillRect/>
                          </a:stretch>
                        </pic:blipFill>
                        <pic:spPr bwMode="auto">
                          <a:xfrm>
                            <a:off x="0" y="0"/>
                            <a:ext cx="2609850" cy="1419225"/>
                          </a:xfrm>
                          <a:prstGeom prst="rect">
                            <a:avLst/>
                          </a:prstGeom>
                          <a:noFill/>
                          <a:ln>
                            <a:noFill/>
                          </a:ln>
                        </pic:spPr>
                      </pic:pic>
                    </a:graphicData>
                  </a:graphic>
                </wp:inline>
              </w:drawing>
            </w:r>
          </w:p>
        </w:tc>
        <w:tc>
          <w:tcPr>
            <w:tcW w:w="4621" w:type="dxa"/>
          </w:tcPr>
          <w:p w14:paraId="1E2AEC32" w14:textId="3DFB36F9" w:rsidR="00BA5452" w:rsidRPr="0095391C" w:rsidRDefault="00BA5452" w:rsidP="00BA5452">
            <w:pPr>
              <w:tabs>
                <w:tab w:val="left" w:pos="720"/>
              </w:tabs>
              <w:rPr>
                <w:b/>
                <w:lang w:val="en-US"/>
              </w:rPr>
            </w:pPr>
            <w:r w:rsidRPr="0095391C">
              <w:rPr>
                <w:noProof/>
                <w:sz w:val="24"/>
                <w:szCs w:val="24"/>
                <w:lang w:val="en-US"/>
              </w:rPr>
              <mc:AlternateContent>
                <mc:Choice Requires="wps">
                  <w:drawing>
                    <wp:anchor distT="0" distB="0" distL="114300" distR="114300" simplePos="0" relativeHeight="251705344" behindDoc="0" locked="0" layoutInCell="1" allowOverlap="1" wp14:anchorId="462939F7" wp14:editId="6978D3E8">
                      <wp:simplePos x="0" y="0"/>
                      <wp:positionH relativeFrom="column">
                        <wp:posOffset>332740</wp:posOffset>
                      </wp:positionH>
                      <wp:positionV relativeFrom="paragraph">
                        <wp:posOffset>800100</wp:posOffset>
                      </wp:positionV>
                      <wp:extent cx="438150" cy="234315"/>
                      <wp:effectExtent l="0" t="0" r="0" b="5715"/>
                      <wp:wrapNone/>
                      <wp:docPr id="31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34315"/>
                              </a:xfrm>
                              <a:prstGeom prst="rect">
                                <a:avLst/>
                              </a:prstGeom>
                              <a:noFill/>
                              <a:ln w="9525">
                                <a:noFill/>
                                <a:miter lim="800000"/>
                                <a:headEnd/>
                                <a:tailEnd/>
                              </a:ln>
                            </wps:spPr>
                            <wps:txbx>
                              <w:txbxContent>
                                <w:p w14:paraId="5F899F77" w14:textId="3DCA142D" w:rsidR="00BA5452" w:rsidRPr="00BA5452" w:rsidRDefault="00BA5452" w:rsidP="00BA5452">
                                  <w:pPr>
                                    <w:jc w:val="center"/>
                                    <w:rPr>
                                      <w:b/>
                                      <w:lang w:val="en-US"/>
                                    </w:rPr>
                                  </w:pPr>
                                  <w:r>
                                    <w:rPr>
                                      <w:b/>
                                      <w:lang w:val="en-US"/>
                                    </w:rPr>
                                    <w:t>B1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2939F7" id="Text Box 311" o:spid="_x0000_s1029" type="#_x0000_t202" style="position:absolute;left:0;text-align:left;margin-left:26.2pt;margin-top:63pt;width:34.5pt;height:18.4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" filled="f" stroked="f">
                      <v:textbox style="mso-fit-shape-to-text:t">
                        <w:txbxContent>
                          <w:p w14:paraId="5F899F77" w14:textId="3DCA142D" w:rsidR="00BA5452" w:rsidRPr="00BA5452" w:rsidRDefault="00BA5452" w:rsidP="00BA5452">
                            <w:pPr>
                              <w:jc w:val="center"/>
                              <w:rPr>
                                <w:b/>
                                <w:lang w:val="en-US"/>
                              </w:rPr>
                            </w:pPr>
                            <w:r>
                              <w:rPr>
                                <w:b/>
                                <w:lang w:val="en-US"/>
                              </w:rPr>
                              <w:t>B1</w:t>
                            </w:r>
                          </w:p>
                        </w:txbxContent>
                      </v:textbox>
                    </v:shape>
                  </w:pict>
                </mc:Fallback>
              </mc:AlternateContent>
            </w:r>
            <w:r w:rsidRPr="0095391C">
              <w:rPr>
                <w:b/>
                <w:noProof/>
                <w:lang w:val="en-US"/>
              </w:rPr>
              <mc:AlternateContent>
                <mc:Choice Requires="wps">
                  <w:drawing>
                    <wp:anchor distT="0" distB="0" distL="114300" distR="114300" simplePos="0" relativeHeight="251698176" behindDoc="0" locked="0" layoutInCell="1" allowOverlap="1" wp14:anchorId="5DDC344C" wp14:editId="63CF2B90">
                      <wp:simplePos x="0" y="0"/>
                      <wp:positionH relativeFrom="column">
                        <wp:posOffset>368300</wp:posOffset>
                      </wp:positionH>
                      <wp:positionV relativeFrom="paragraph">
                        <wp:posOffset>56515</wp:posOffset>
                      </wp:positionV>
                      <wp:extent cx="742950" cy="1760220"/>
                      <wp:effectExtent l="0" t="0" r="19050" b="1143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760220"/>
                              </a:xfrm>
                              <a:prstGeom prst="rect">
                                <a:avLst/>
                              </a:prstGeom>
                              <a:noFill/>
                              <a:ln w="9525">
                                <a:solidFill>
                                  <a:srgbClr val="00B0F0"/>
                                </a:solidFill>
                                <a:prstDash val="dash"/>
                                <a:miter lim="800000"/>
                                <a:headEnd/>
                                <a:tailEnd/>
                              </a:ln>
                            </wps:spPr>
                            <wps:txbx>
                              <w:txbxContent>
                                <w:p w14:paraId="58A523DF" w14:textId="77777777" w:rsidR="00BA5452" w:rsidRDefault="00BA5452" w:rsidP="00BA5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DC344C" id="Text Box 310" o:spid="_x0000_s1030" type="#_x0000_t202" style="position:absolute;left:0;text-align:left;margin-left:29pt;margin-top:4.45pt;width:58.5pt;height:138.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" filled="f" strokecolor="#00b0f0">
                      <v:stroke dashstyle="dash"/>
                      <v:textbox>
                        <w:txbxContent>
                          <w:p w14:paraId="58A523DF" w14:textId="77777777" w:rsidR="00BA5452" w:rsidRDefault="00BA5452" w:rsidP="00BA5452"/>
                        </w:txbxContent>
                      </v:textbox>
                    </v:shape>
                  </w:pict>
                </mc:Fallback>
              </mc:AlternateContent>
            </w:r>
            <w:r w:rsidRPr="0095391C">
              <w:rPr>
                <w:b/>
                <w:noProof/>
                <w:lang w:val="en-US"/>
              </w:rPr>
              <mc:AlternateContent>
                <mc:Choice Requires="wps">
                  <w:drawing>
                    <wp:anchor distT="0" distB="0" distL="114300" distR="114300" simplePos="0" relativeHeight="251699200" behindDoc="0" locked="0" layoutInCell="1" allowOverlap="1" wp14:anchorId="4E620638" wp14:editId="5A52DA6F">
                      <wp:simplePos x="0" y="0"/>
                      <wp:positionH relativeFrom="column">
                        <wp:posOffset>1590675</wp:posOffset>
                      </wp:positionH>
                      <wp:positionV relativeFrom="paragraph">
                        <wp:posOffset>66676</wp:posOffset>
                      </wp:positionV>
                      <wp:extent cx="742950" cy="2609850"/>
                      <wp:effectExtent l="0" t="0" r="19050" b="19050"/>
                      <wp:wrapNone/>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609850"/>
                              </a:xfrm>
                              <a:prstGeom prst="rect">
                                <a:avLst/>
                              </a:prstGeom>
                              <a:noFill/>
                              <a:ln w="9525">
                                <a:solidFill>
                                  <a:srgbClr val="00B0F0"/>
                                </a:solidFill>
                                <a:prstDash val="dash"/>
                                <a:miter lim="800000"/>
                                <a:headEnd/>
                                <a:tailEnd/>
                              </a:ln>
                            </wps:spPr>
                            <wps:txbx>
                              <w:txbxContent>
                                <w:p w14:paraId="7E849E78" w14:textId="77777777" w:rsidR="00BA5452" w:rsidRDefault="00BA5452" w:rsidP="00BA545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20638" id="Text Box 309" o:spid="_x0000_s1031" type="#_x0000_t202" style="position:absolute;left:0;text-align:left;margin-left:125.25pt;margin-top:5.25pt;width:58.5pt;height:20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" filled="f" strokecolor="#00b0f0">
                      <v:stroke dashstyle="dash"/>
                      <v:textbox>
                        <w:txbxContent>
                          <w:p w14:paraId="7E849E78" w14:textId="77777777" w:rsidR="00BA5452" w:rsidRDefault="00BA5452" w:rsidP="00BA5452"/>
                        </w:txbxContent>
                      </v:textbox>
                    </v:shape>
                  </w:pict>
                </mc:Fallback>
              </mc:AlternateContent>
            </w:r>
            <w:r w:rsidRPr="0095391C">
              <w:rPr>
                <w:rFonts w:cs="Calibri"/>
                <w:noProof/>
                <w:lang w:val="en-US"/>
              </w:rPr>
              <w:drawing>
                <wp:inline distT="0" distB="0" distL="0" distR="0" wp14:anchorId="7DC888B5" wp14:editId="11317B39">
                  <wp:extent cx="2609850" cy="1333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18">
                            <a:extLst>
                              <a:ext uri="{28A0092B-C50C-407E-A947-70E740481C1C}">
                                <a14:useLocalDpi xmlns:a14="http://schemas.microsoft.com/office/drawing/2010/main" val="0"/>
                              </a:ext>
                            </a:extLst>
                          </a:blip>
                          <a:srcRect b="8781"/>
                          <a:stretch>
                            <a:fillRect/>
                          </a:stretch>
                        </pic:blipFill>
                        <pic:spPr bwMode="auto">
                          <a:xfrm>
                            <a:off x="0" y="0"/>
                            <a:ext cx="2609850" cy="1333500"/>
                          </a:xfrm>
                          <a:prstGeom prst="rect">
                            <a:avLst/>
                          </a:prstGeom>
                          <a:noFill/>
                          <a:ln>
                            <a:noFill/>
                          </a:ln>
                        </pic:spPr>
                      </pic:pic>
                    </a:graphicData>
                  </a:graphic>
                </wp:inline>
              </w:drawing>
            </w:r>
          </w:p>
          <w:p w14:paraId="60779D17" w14:textId="0761E63E" w:rsidR="00BA5452" w:rsidRPr="0095391C" w:rsidRDefault="00BA5452" w:rsidP="00BA5452">
            <w:pPr>
              <w:tabs>
                <w:tab w:val="left" w:pos="720"/>
              </w:tabs>
              <w:spacing w:before="0"/>
              <w:rPr>
                <w:b/>
                <w:lang w:val="en-US"/>
              </w:rPr>
            </w:pPr>
            <w:r w:rsidRPr="0095391C">
              <w:rPr>
                <w:noProof/>
                <w:sz w:val="24"/>
                <w:szCs w:val="24"/>
                <w:lang w:val="en-US"/>
              </w:rPr>
              <mc:AlternateContent>
                <mc:Choice Requires="wps">
                  <w:drawing>
                    <wp:anchor distT="0" distB="0" distL="114300" distR="114300" simplePos="0" relativeHeight="251707392" behindDoc="0" locked="0" layoutInCell="1" allowOverlap="1" wp14:anchorId="2F6F7A5D" wp14:editId="51CA815C">
                      <wp:simplePos x="0" y="0"/>
                      <wp:positionH relativeFrom="column">
                        <wp:posOffset>332740</wp:posOffset>
                      </wp:positionH>
                      <wp:positionV relativeFrom="paragraph">
                        <wp:posOffset>762635</wp:posOffset>
                      </wp:positionV>
                      <wp:extent cx="438150" cy="234315"/>
                      <wp:effectExtent l="0" t="0" r="0" b="571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34315"/>
                              </a:xfrm>
                              <a:prstGeom prst="rect">
                                <a:avLst/>
                              </a:prstGeom>
                              <a:noFill/>
                              <a:ln w="9525">
                                <a:noFill/>
                                <a:miter lim="800000"/>
                                <a:headEnd/>
                                <a:tailEnd/>
                              </a:ln>
                            </wps:spPr>
                            <wps:txbx>
                              <w:txbxContent>
                                <w:p w14:paraId="765CEC4C" w14:textId="7ECAC54D" w:rsidR="00BA5452" w:rsidRPr="00BA5452" w:rsidRDefault="00BA5452" w:rsidP="00BA5452">
                                  <w:pPr>
                                    <w:jc w:val="center"/>
                                    <w:rPr>
                                      <w:b/>
                                      <w:lang w:val="en-US"/>
                                    </w:rPr>
                                  </w:pPr>
                                  <w:r>
                                    <w:rPr>
                                      <w:b/>
                                      <w:lang w:val="en-US"/>
                                    </w:rPr>
                                    <w:t>B2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6F7A5D" id="Text Box 312" o:spid="_x0000_s1032" type="#_x0000_t202" style="position:absolute;left:0;text-align:left;margin-left:26.2pt;margin-top:60.05pt;width:34.5pt;height:18.4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" filled="f" stroked="f">
                      <v:textbox style="mso-fit-shape-to-text:t">
                        <w:txbxContent>
                          <w:p w14:paraId="765CEC4C" w14:textId="7ECAC54D" w:rsidR="00BA5452" w:rsidRPr="00BA5452" w:rsidRDefault="00BA5452" w:rsidP="00BA5452">
                            <w:pPr>
                              <w:jc w:val="center"/>
                              <w:rPr>
                                <w:b/>
                                <w:lang w:val="en-US"/>
                              </w:rPr>
                            </w:pPr>
                            <w:r>
                              <w:rPr>
                                <w:b/>
                                <w:lang w:val="en-US"/>
                              </w:rPr>
                              <w:t>B2</w:t>
                            </w:r>
                          </w:p>
                        </w:txbxContent>
                      </v:textbox>
                    </v:shape>
                  </w:pict>
                </mc:Fallback>
              </mc:AlternateContent>
            </w:r>
            <w:r w:rsidRPr="0095391C">
              <w:rPr>
                <w:rFonts w:cs="Calibri"/>
                <w:noProof/>
                <w:lang w:val="en-US"/>
              </w:rPr>
              <w:drawing>
                <wp:inline distT="0" distB="0" distL="0" distR="0" wp14:anchorId="26E472CF" wp14:editId="59841459">
                  <wp:extent cx="2609850" cy="13811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19">
                            <a:extLst>
                              <a:ext uri="{28A0092B-C50C-407E-A947-70E740481C1C}">
                                <a14:useLocalDpi xmlns:a14="http://schemas.microsoft.com/office/drawing/2010/main" val="0"/>
                              </a:ext>
                            </a:extLst>
                          </a:blip>
                          <a:srcRect b="8669"/>
                          <a:stretch>
                            <a:fillRect/>
                          </a:stretch>
                        </pic:blipFill>
                        <pic:spPr bwMode="auto">
                          <a:xfrm>
                            <a:off x="0" y="0"/>
                            <a:ext cx="2609850" cy="1381125"/>
                          </a:xfrm>
                          <a:prstGeom prst="rect">
                            <a:avLst/>
                          </a:prstGeom>
                          <a:noFill/>
                          <a:ln>
                            <a:noFill/>
                          </a:ln>
                        </pic:spPr>
                      </pic:pic>
                    </a:graphicData>
                  </a:graphic>
                </wp:inline>
              </w:drawing>
            </w:r>
          </w:p>
        </w:tc>
      </w:tr>
    </w:tbl>
    <w:p w14:paraId="13E0EC6D" w14:textId="288BECBF" w:rsidR="008D18BD" w:rsidRPr="0095391C" w:rsidRDefault="008D18BD" w:rsidP="008D18BD">
      <w:pPr>
        <w:tabs>
          <w:tab w:val="left" w:pos="720"/>
        </w:tabs>
        <w:spacing w:before="0" w:line="276" w:lineRule="auto"/>
        <w:rPr>
          <w:rFonts w:asciiTheme="minorHAnsi" w:eastAsia="MS Mincho" w:hAnsiTheme="minorHAnsi" w:cstheme="minorHAnsi"/>
          <w:bCs/>
          <w:lang w:val="en-US"/>
        </w:rPr>
      </w:pPr>
      <w:r w:rsidRPr="0095391C">
        <w:t>Fig</w:t>
      </w:r>
      <w:r w:rsidRPr="0095391C">
        <w:rPr>
          <w:lang w:val="en-US"/>
        </w:rPr>
        <w:t>ure</w:t>
      </w:r>
      <w:r w:rsidR="00D64343" w:rsidRPr="0095391C">
        <w:rPr>
          <w:lang w:val="en-US"/>
        </w:rPr>
        <w:t xml:space="preserve"> 2.</w:t>
      </w:r>
      <w:r w:rsidR="007734E4" w:rsidRPr="0095391C">
        <w:t xml:space="preserve"> FTIR spectra of </w:t>
      </w:r>
      <w:r w:rsidR="00BA5452" w:rsidRPr="0095391C">
        <w:t>Inceptisol</w:t>
      </w:r>
      <w:r w:rsidR="00BA5452" w:rsidRPr="0095391C">
        <w:rPr>
          <w:lang w:val="en-US"/>
        </w:rPr>
        <w:t xml:space="preserve">s (A) and </w:t>
      </w:r>
      <w:r w:rsidRPr="0095391C">
        <w:t xml:space="preserve">rice husk biochar amended </w:t>
      </w:r>
      <w:r w:rsidRPr="0095391C">
        <w:rPr>
          <w:lang w:val="en-US"/>
        </w:rPr>
        <w:t>Inceptisols</w:t>
      </w:r>
      <w:r w:rsidR="00BA5452" w:rsidRPr="0095391C">
        <w:rPr>
          <w:lang w:val="en-US"/>
        </w:rPr>
        <w:t xml:space="preserve"> (B)</w:t>
      </w:r>
      <w:r w:rsidR="00BA5452" w:rsidRPr="0095391C">
        <w:t>, before (</w:t>
      </w:r>
      <w:r w:rsidR="00BA5452" w:rsidRPr="0095391C">
        <w:rPr>
          <w:lang w:val="en-US"/>
        </w:rPr>
        <w:t>1</w:t>
      </w:r>
      <w:r w:rsidR="00BA5452" w:rsidRPr="0095391C">
        <w:t>) and after (</w:t>
      </w:r>
      <w:r w:rsidR="00BA5452" w:rsidRPr="0095391C">
        <w:rPr>
          <w:lang w:val="en-US"/>
        </w:rPr>
        <w:t>2</w:t>
      </w:r>
      <w:r w:rsidRPr="0095391C">
        <w:t>) adsorption.</w:t>
      </w:r>
    </w:p>
    <w:p w14:paraId="3630EF24" w14:textId="10CF81CD" w:rsidR="00F31F89" w:rsidRPr="0095391C" w:rsidRDefault="00F31F89" w:rsidP="008D18BD">
      <w:pPr>
        <w:pStyle w:val="Heading3"/>
        <w:keepNext w:val="0"/>
        <w:widowControl w:val="0"/>
        <w:tabs>
          <w:tab w:val="left" w:pos="720"/>
        </w:tabs>
        <w:spacing w:before="0" w:line="276" w:lineRule="auto"/>
        <w:rPr>
          <w:rFonts w:asciiTheme="minorHAnsi" w:eastAsiaTheme="minorEastAsia" w:hAnsiTheme="minorHAnsi" w:cstheme="minorHAnsi"/>
          <w:b w:val="0"/>
          <w:bCs w:val="0"/>
          <w:color w:val="auto"/>
          <w:lang w:val="en-US"/>
        </w:rPr>
      </w:pPr>
      <w:r w:rsidRPr="0095391C">
        <w:rPr>
          <w:rFonts w:asciiTheme="minorHAnsi" w:eastAsiaTheme="minorEastAsia" w:hAnsiTheme="minorHAnsi" w:cstheme="minorHAnsi"/>
          <w:b w:val="0"/>
          <w:bCs w:val="0"/>
          <w:color w:val="auto"/>
        </w:rPr>
        <w:lastRenderedPageBreak/>
        <w:t>The FT-IR spectrum of RH</w:t>
      </w:r>
      <w:r w:rsidRPr="0095391C">
        <w:rPr>
          <w:rFonts w:asciiTheme="minorHAnsi" w:eastAsiaTheme="minorEastAsia" w:hAnsiTheme="minorHAnsi" w:cstheme="minorHAnsi"/>
          <w:b w:val="0"/>
          <w:bCs w:val="0"/>
          <w:color w:val="auto"/>
          <w:vertAlign w:val="subscript"/>
        </w:rPr>
        <w:t>B</w:t>
      </w:r>
      <w:r w:rsidRPr="0095391C">
        <w:rPr>
          <w:rFonts w:asciiTheme="minorHAnsi" w:eastAsiaTheme="minorEastAsia" w:hAnsiTheme="minorHAnsi" w:cstheme="minorHAnsi"/>
          <w:b w:val="0"/>
          <w:bCs w:val="0"/>
          <w:color w:val="auto"/>
        </w:rPr>
        <w:t>/Ept showed the same vibrations as Inceptisols which were in the band 3280.62 cm-1/ 87.48%; 1630.83 cm-1/ 87.98%; 1025.50 cm-1/ 63.19% and 546.97 cm-1/ 48.26%. The RH</w:t>
      </w:r>
      <w:r w:rsidRPr="0095391C">
        <w:rPr>
          <w:rFonts w:asciiTheme="minorHAnsi" w:eastAsiaTheme="minorEastAsia" w:hAnsiTheme="minorHAnsi" w:cstheme="minorHAnsi"/>
          <w:b w:val="0"/>
          <w:bCs w:val="0"/>
          <w:color w:val="auto"/>
          <w:vertAlign w:val="subscript"/>
        </w:rPr>
        <w:t>B</w:t>
      </w:r>
      <w:r w:rsidRPr="0095391C">
        <w:rPr>
          <w:rFonts w:asciiTheme="minorHAnsi" w:eastAsiaTheme="minorEastAsia" w:hAnsiTheme="minorHAnsi" w:cstheme="minorHAnsi"/>
          <w:b w:val="0"/>
          <w:bCs w:val="0"/>
          <w:color w:val="auto"/>
        </w:rPr>
        <w:t>/Ept showed a decrease in transmittance in each band which indicated an increase in adsorption capacity through the administration of rice husk biochar amended Inceptisols. The FT-IR spectrum of RH</w:t>
      </w:r>
      <w:r w:rsidRPr="0095391C">
        <w:rPr>
          <w:rFonts w:asciiTheme="minorHAnsi" w:eastAsiaTheme="minorEastAsia" w:hAnsiTheme="minorHAnsi" w:cstheme="minorHAnsi"/>
          <w:b w:val="0"/>
          <w:bCs w:val="0"/>
          <w:color w:val="auto"/>
          <w:vertAlign w:val="subscript"/>
        </w:rPr>
        <w:t>B</w:t>
      </w:r>
      <w:r w:rsidR="007D3359" w:rsidRPr="0095391C">
        <w:rPr>
          <w:rFonts w:asciiTheme="minorHAnsi" w:eastAsiaTheme="minorEastAsia" w:hAnsiTheme="minorHAnsi" w:cstheme="minorHAnsi"/>
          <w:b w:val="0"/>
          <w:bCs w:val="0"/>
          <w:color w:val="auto"/>
        </w:rPr>
        <w:t>/E</w:t>
      </w:r>
      <w:r w:rsidR="007D3359" w:rsidRPr="0095391C">
        <w:rPr>
          <w:rFonts w:asciiTheme="minorHAnsi" w:eastAsiaTheme="minorEastAsia" w:hAnsiTheme="minorHAnsi" w:cstheme="minorHAnsi"/>
          <w:b w:val="0"/>
          <w:bCs w:val="0"/>
          <w:color w:val="auto"/>
          <w:lang w:val="en-US"/>
        </w:rPr>
        <w:t>p</w:t>
      </w:r>
      <w:r w:rsidRPr="0095391C">
        <w:rPr>
          <w:rFonts w:asciiTheme="minorHAnsi" w:eastAsiaTheme="minorEastAsia" w:hAnsiTheme="minorHAnsi" w:cstheme="minorHAnsi"/>
          <w:b w:val="0"/>
          <w:bCs w:val="0"/>
          <w:color w:val="auto"/>
        </w:rPr>
        <w:t xml:space="preserve">t, due to the addition of 40 t ha of biochar into the Inceptisols, revealed a band at 3280.62 cm-1/87.48% that could be assigned to the internal and internal hydroxyl group strain vibrations. The band at 1630.83 cm-1/87.98% is associated with the water deformation vibrations absorbed in the clay interlayer and is associated with the C-O and C-C strain vibrations, corresponding to the carbonyl and aromatic rings. On the other hand, an absorption band of 1025.50 cm-1/ 63.19% also appears which is associated with C-O (alcohols, ethers, carboxylic acid, esters) and aromatic C-H bending vibrations. The FTIR band at 546.97 cm-1/48.26% was associated with the Si-O-Al bond strain (kaolinite and smectite). </w:t>
      </w:r>
    </w:p>
    <w:p w14:paraId="08DCC2F6" w14:textId="0E53051C" w:rsidR="008D18BD" w:rsidRPr="0095391C" w:rsidRDefault="008D18BD" w:rsidP="008D18BD">
      <w:pPr>
        <w:pStyle w:val="Heading3"/>
        <w:keepNext w:val="0"/>
        <w:widowControl w:val="0"/>
        <w:tabs>
          <w:tab w:val="left" w:pos="720"/>
        </w:tabs>
        <w:spacing w:before="0" w:line="276" w:lineRule="auto"/>
        <w:rPr>
          <w:rFonts w:asciiTheme="minorHAnsi" w:eastAsia="MS Mincho" w:hAnsiTheme="minorHAnsi" w:cstheme="minorHAnsi"/>
          <w:b w:val="0"/>
          <w:color w:val="000000" w:themeColor="text1"/>
        </w:rPr>
      </w:pPr>
      <w:r w:rsidRPr="0095391C">
        <w:rPr>
          <w:rFonts w:asciiTheme="minorHAnsi" w:eastAsia="MS Mincho" w:hAnsiTheme="minorHAnsi" w:cstheme="minorHAnsi"/>
          <w:b w:val="0"/>
          <w:color w:val="000000" w:themeColor="text1"/>
        </w:rPr>
        <w:t>Table 1. Spectral band assignments of Inceptisols, and rice husk biochar amended soil, before and after adsorption.</w:t>
      </w:r>
    </w:p>
    <w:tbl>
      <w:tblPr>
        <w:tblStyle w:val="TableGrid"/>
        <w:tblW w:w="9180"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0"/>
        <w:gridCol w:w="1134"/>
        <w:gridCol w:w="1134"/>
        <w:gridCol w:w="1275"/>
        <w:gridCol w:w="4567"/>
      </w:tblGrid>
      <w:tr w:rsidR="00D64343" w:rsidRPr="0095391C" w14:paraId="41EB171C" w14:textId="77777777" w:rsidTr="00F31F89">
        <w:trPr>
          <w:jc w:val="center"/>
        </w:trPr>
        <w:tc>
          <w:tcPr>
            <w:tcW w:w="2204" w:type="dxa"/>
            <w:gridSpan w:val="2"/>
            <w:tcBorders>
              <w:top w:val="single" w:sz="4" w:space="0" w:color="auto"/>
              <w:left w:val="nil"/>
              <w:bottom w:val="single" w:sz="4" w:space="0" w:color="auto"/>
              <w:right w:val="nil"/>
            </w:tcBorders>
            <w:shd w:val="clear" w:color="auto" w:fill="auto"/>
            <w:hideMark/>
          </w:tcPr>
          <w:p w14:paraId="183012B7"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Before Adsorption</w:t>
            </w:r>
          </w:p>
        </w:tc>
        <w:tc>
          <w:tcPr>
            <w:tcW w:w="2409" w:type="dxa"/>
            <w:gridSpan w:val="2"/>
            <w:tcBorders>
              <w:top w:val="single" w:sz="4" w:space="0" w:color="auto"/>
              <w:left w:val="nil"/>
              <w:bottom w:val="single" w:sz="4" w:space="0" w:color="auto"/>
              <w:right w:val="nil"/>
            </w:tcBorders>
            <w:shd w:val="clear" w:color="auto" w:fill="auto"/>
            <w:hideMark/>
          </w:tcPr>
          <w:p w14:paraId="074AA491"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After Adsorption</w:t>
            </w:r>
          </w:p>
        </w:tc>
        <w:tc>
          <w:tcPr>
            <w:tcW w:w="4567" w:type="dxa"/>
            <w:vMerge w:val="restart"/>
            <w:tcBorders>
              <w:top w:val="single" w:sz="4" w:space="0" w:color="auto"/>
              <w:left w:val="nil"/>
              <w:bottom w:val="single" w:sz="4" w:space="0" w:color="auto"/>
              <w:right w:val="nil"/>
            </w:tcBorders>
            <w:shd w:val="clear" w:color="auto" w:fill="auto"/>
            <w:vAlign w:val="center"/>
            <w:hideMark/>
          </w:tcPr>
          <w:p w14:paraId="5597F6FC"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Description of Bond (Type of Compound – Intensity)</w:t>
            </w:r>
          </w:p>
        </w:tc>
      </w:tr>
      <w:tr w:rsidR="00D64343" w:rsidRPr="0095391C" w14:paraId="5C057828" w14:textId="77777777" w:rsidTr="00F31F89">
        <w:trPr>
          <w:jc w:val="center"/>
        </w:trPr>
        <w:tc>
          <w:tcPr>
            <w:tcW w:w="1070" w:type="dxa"/>
            <w:tcBorders>
              <w:top w:val="single" w:sz="4" w:space="0" w:color="auto"/>
              <w:left w:val="nil"/>
              <w:bottom w:val="single" w:sz="4" w:space="0" w:color="auto"/>
              <w:right w:val="nil"/>
            </w:tcBorders>
            <w:shd w:val="clear" w:color="auto" w:fill="auto"/>
            <w:hideMark/>
          </w:tcPr>
          <w:p w14:paraId="72E266C9" w14:textId="07A41ED7" w:rsidR="008D18BD" w:rsidRPr="0095391C" w:rsidRDefault="009D6F11"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Ep</w:t>
            </w:r>
            <w:r w:rsidR="008D18BD" w:rsidRPr="0095391C">
              <w:rPr>
                <w:rFonts w:asciiTheme="minorHAnsi" w:hAnsiTheme="minorHAnsi" w:cstheme="minorHAnsi"/>
                <w:sz w:val="22"/>
                <w:szCs w:val="22"/>
                <w:lang w:eastAsia="ja-JP"/>
              </w:rPr>
              <w:t>t</w:t>
            </w:r>
          </w:p>
        </w:tc>
        <w:tc>
          <w:tcPr>
            <w:tcW w:w="1134" w:type="dxa"/>
            <w:tcBorders>
              <w:top w:val="single" w:sz="4" w:space="0" w:color="auto"/>
              <w:left w:val="nil"/>
              <w:bottom w:val="single" w:sz="4" w:space="0" w:color="auto"/>
              <w:right w:val="nil"/>
            </w:tcBorders>
            <w:shd w:val="clear" w:color="auto" w:fill="auto"/>
            <w:hideMark/>
          </w:tcPr>
          <w:p w14:paraId="728E1026" w14:textId="63DB6836"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RH</w:t>
            </w:r>
            <w:r w:rsidRPr="0095391C">
              <w:rPr>
                <w:rFonts w:asciiTheme="minorHAnsi" w:hAnsiTheme="minorHAnsi" w:cstheme="minorHAnsi"/>
                <w:sz w:val="22"/>
                <w:szCs w:val="22"/>
                <w:vertAlign w:val="subscript"/>
                <w:lang w:eastAsia="ja-JP"/>
              </w:rPr>
              <w:t>B</w:t>
            </w:r>
            <w:r w:rsidR="00E47701" w:rsidRPr="0095391C">
              <w:rPr>
                <w:rFonts w:asciiTheme="minorHAnsi" w:hAnsiTheme="minorHAnsi" w:cstheme="minorHAnsi"/>
                <w:sz w:val="22"/>
                <w:szCs w:val="22"/>
                <w:lang w:eastAsia="ja-JP"/>
              </w:rPr>
              <w:t>/Ep</w:t>
            </w:r>
            <w:r w:rsidRPr="0095391C">
              <w:rPr>
                <w:rFonts w:asciiTheme="minorHAnsi" w:hAnsiTheme="minorHAnsi" w:cstheme="minorHAnsi"/>
                <w:sz w:val="22"/>
                <w:szCs w:val="22"/>
                <w:lang w:eastAsia="ja-JP"/>
              </w:rPr>
              <w:t>t</w:t>
            </w:r>
          </w:p>
        </w:tc>
        <w:tc>
          <w:tcPr>
            <w:tcW w:w="1134" w:type="dxa"/>
            <w:tcBorders>
              <w:top w:val="single" w:sz="4" w:space="0" w:color="auto"/>
              <w:left w:val="nil"/>
              <w:bottom w:val="single" w:sz="4" w:space="0" w:color="auto"/>
              <w:right w:val="nil"/>
            </w:tcBorders>
            <w:shd w:val="clear" w:color="auto" w:fill="auto"/>
            <w:hideMark/>
          </w:tcPr>
          <w:p w14:paraId="4F0E67A2" w14:textId="0154A81B" w:rsidR="008D18BD" w:rsidRPr="0095391C" w:rsidRDefault="009D6F11"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Ep</w:t>
            </w:r>
            <w:r w:rsidR="008D18BD" w:rsidRPr="0095391C">
              <w:rPr>
                <w:rFonts w:asciiTheme="minorHAnsi" w:hAnsiTheme="minorHAnsi" w:cstheme="minorHAnsi"/>
                <w:sz w:val="22"/>
                <w:szCs w:val="22"/>
                <w:lang w:eastAsia="ja-JP"/>
              </w:rPr>
              <w:t>t</w:t>
            </w:r>
          </w:p>
        </w:tc>
        <w:tc>
          <w:tcPr>
            <w:tcW w:w="1275" w:type="dxa"/>
            <w:tcBorders>
              <w:top w:val="single" w:sz="4" w:space="0" w:color="auto"/>
              <w:left w:val="nil"/>
              <w:bottom w:val="single" w:sz="4" w:space="0" w:color="auto"/>
              <w:right w:val="nil"/>
            </w:tcBorders>
            <w:shd w:val="clear" w:color="auto" w:fill="auto"/>
            <w:hideMark/>
          </w:tcPr>
          <w:p w14:paraId="76AA85FE" w14:textId="27C1B70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RH</w:t>
            </w:r>
            <w:r w:rsidRPr="0095391C">
              <w:rPr>
                <w:rFonts w:asciiTheme="minorHAnsi" w:hAnsiTheme="minorHAnsi" w:cstheme="minorHAnsi"/>
                <w:sz w:val="22"/>
                <w:szCs w:val="22"/>
                <w:vertAlign w:val="subscript"/>
                <w:lang w:eastAsia="ja-JP"/>
              </w:rPr>
              <w:t>B</w:t>
            </w:r>
            <w:r w:rsidR="00E47701" w:rsidRPr="0095391C">
              <w:rPr>
                <w:rFonts w:asciiTheme="minorHAnsi" w:hAnsiTheme="minorHAnsi" w:cstheme="minorHAnsi"/>
                <w:sz w:val="22"/>
                <w:szCs w:val="22"/>
                <w:lang w:eastAsia="ja-JP"/>
              </w:rPr>
              <w:t>/Ep</w:t>
            </w:r>
            <w:r w:rsidRPr="0095391C">
              <w:rPr>
                <w:rFonts w:asciiTheme="minorHAnsi" w:hAnsiTheme="minorHAnsi" w:cstheme="minorHAnsi"/>
                <w:sz w:val="22"/>
                <w:szCs w:val="22"/>
                <w:lang w:eastAsia="ja-JP"/>
              </w:rPr>
              <w:t>t</w:t>
            </w:r>
          </w:p>
        </w:tc>
        <w:tc>
          <w:tcPr>
            <w:tcW w:w="4567" w:type="dxa"/>
            <w:vMerge/>
            <w:tcBorders>
              <w:top w:val="single" w:sz="4" w:space="0" w:color="auto"/>
              <w:left w:val="nil"/>
              <w:bottom w:val="single" w:sz="4" w:space="0" w:color="auto"/>
              <w:right w:val="nil"/>
            </w:tcBorders>
            <w:shd w:val="clear" w:color="auto" w:fill="auto"/>
            <w:vAlign w:val="center"/>
            <w:hideMark/>
          </w:tcPr>
          <w:p w14:paraId="06E360CE" w14:textId="77777777" w:rsidR="008D18BD" w:rsidRPr="0095391C" w:rsidRDefault="008D18BD" w:rsidP="00E47701">
            <w:pPr>
              <w:spacing w:before="0" w:line="240" w:lineRule="auto"/>
              <w:jc w:val="left"/>
              <w:rPr>
                <w:rFonts w:asciiTheme="minorHAnsi" w:hAnsiTheme="minorHAnsi" w:cstheme="minorHAnsi"/>
                <w:b/>
                <w:bCs/>
                <w:lang w:eastAsia="ja-JP"/>
              </w:rPr>
            </w:pPr>
          </w:p>
        </w:tc>
      </w:tr>
      <w:tr w:rsidR="008D18BD" w:rsidRPr="0095391C" w14:paraId="5CC766FA" w14:textId="77777777" w:rsidTr="00F31F89">
        <w:trPr>
          <w:jc w:val="center"/>
        </w:trPr>
        <w:tc>
          <w:tcPr>
            <w:tcW w:w="4613" w:type="dxa"/>
            <w:gridSpan w:val="4"/>
            <w:tcBorders>
              <w:top w:val="single" w:sz="4" w:space="0" w:color="auto"/>
              <w:left w:val="nil"/>
              <w:bottom w:val="single" w:sz="4" w:space="0" w:color="auto"/>
              <w:right w:val="nil"/>
            </w:tcBorders>
            <w:shd w:val="clear" w:color="auto" w:fill="auto"/>
            <w:vAlign w:val="center"/>
            <w:hideMark/>
          </w:tcPr>
          <w:p w14:paraId="58DF6EA5"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Wavenumbers / Transmittance (cm</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 %)</w:t>
            </w:r>
          </w:p>
        </w:tc>
        <w:tc>
          <w:tcPr>
            <w:tcW w:w="4567" w:type="dxa"/>
            <w:vMerge/>
            <w:tcBorders>
              <w:top w:val="single" w:sz="4" w:space="0" w:color="auto"/>
              <w:left w:val="nil"/>
              <w:bottom w:val="single" w:sz="4" w:space="0" w:color="auto"/>
              <w:right w:val="nil"/>
            </w:tcBorders>
            <w:shd w:val="clear" w:color="auto" w:fill="auto"/>
            <w:vAlign w:val="center"/>
            <w:hideMark/>
          </w:tcPr>
          <w:p w14:paraId="0EA4A129" w14:textId="77777777" w:rsidR="008D18BD" w:rsidRPr="0095391C" w:rsidRDefault="008D18BD" w:rsidP="00E47701">
            <w:pPr>
              <w:spacing w:before="0" w:line="240" w:lineRule="auto"/>
              <w:jc w:val="left"/>
              <w:rPr>
                <w:rFonts w:asciiTheme="minorHAnsi" w:hAnsiTheme="minorHAnsi" w:cstheme="minorHAnsi"/>
                <w:b/>
                <w:bCs/>
                <w:lang w:eastAsia="ja-JP"/>
              </w:rPr>
            </w:pPr>
          </w:p>
        </w:tc>
      </w:tr>
      <w:tr w:rsidR="00D64343" w:rsidRPr="0095391C" w14:paraId="3B0EF2E5" w14:textId="77777777" w:rsidTr="00F31F89">
        <w:trPr>
          <w:jc w:val="center"/>
        </w:trPr>
        <w:tc>
          <w:tcPr>
            <w:tcW w:w="1070" w:type="dxa"/>
            <w:tcBorders>
              <w:top w:val="single" w:sz="4" w:space="0" w:color="auto"/>
              <w:left w:val="nil"/>
              <w:bottom w:val="nil"/>
              <w:right w:val="nil"/>
            </w:tcBorders>
            <w:shd w:val="clear" w:color="auto" w:fill="auto"/>
            <w:vAlign w:val="center"/>
            <w:hideMark/>
          </w:tcPr>
          <w:p w14:paraId="68C670CA"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3282.05/ 88.44</w:t>
            </w:r>
          </w:p>
        </w:tc>
        <w:tc>
          <w:tcPr>
            <w:tcW w:w="1134" w:type="dxa"/>
            <w:tcBorders>
              <w:top w:val="single" w:sz="4" w:space="0" w:color="auto"/>
              <w:left w:val="nil"/>
              <w:bottom w:val="nil"/>
              <w:right w:val="nil"/>
            </w:tcBorders>
            <w:shd w:val="clear" w:color="auto" w:fill="auto"/>
            <w:vAlign w:val="center"/>
            <w:hideMark/>
          </w:tcPr>
          <w:p w14:paraId="1FE1EBC6"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3280.62/ 87.48</w:t>
            </w:r>
          </w:p>
        </w:tc>
        <w:tc>
          <w:tcPr>
            <w:tcW w:w="1134" w:type="dxa"/>
            <w:tcBorders>
              <w:top w:val="single" w:sz="4" w:space="0" w:color="auto"/>
              <w:left w:val="nil"/>
              <w:bottom w:val="nil"/>
              <w:right w:val="nil"/>
            </w:tcBorders>
            <w:shd w:val="clear" w:color="auto" w:fill="auto"/>
            <w:vAlign w:val="center"/>
            <w:hideMark/>
          </w:tcPr>
          <w:p w14:paraId="391EBE1B"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3272.74/ 87.96</w:t>
            </w:r>
          </w:p>
        </w:tc>
        <w:tc>
          <w:tcPr>
            <w:tcW w:w="1275" w:type="dxa"/>
            <w:tcBorders>
              <w:top w:val="single" w:sz="4" w:space="0" w:color="auto"/>
              <w:left w:val="nil"/>
              <w:bottom w:val="nil"/>
              <w:right w:val="nil"/>
            </w:tcBorders>
            <w:shd w:val="clear" w:color="auto" w:fill="auto"/>
            <w:vAlign w:val="center"/>
            <w:hideMark/>
          </w:tcPr>
          <w:p w14:paraId="6B6FEDF8"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3282.33/ 86.91</w:t>
            </w:r>
          </w:p>
        </w:tc>
        <w:tc>
          <w:tcPr>
            <w:tcW w:w="4567" w:type="dxa"/>
            <w:tcBorders>
              <w:top w:val="single" w:sz="4" w:space="0" w:color="auto"/>
              <w:left w:val="nil"/>
              <w:bottom w:val="nil"/>
              <w:right w:val="nil"/>
            </w:tcBorders>
            <w:shd w:val="clear" w:color="auto" w:fill="auto"/>
            <w:vAlign w:val="center"/>
            <w:hideMark/>
          </w:tcPr>
          <w:p w14:paraId="40092CF8"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sz w:val="22"/>
                <w:szCs w:val="22"/>
                <w:lang w:eastAsia="ja-JP"/>
              </w:rPr>
            </w:pPr>
            <w:r w:rsidRPr="0095391C">
              <w:rPr>
                <w:rFonts w:asciiTheme="minorHAnsi" w:hAnsiTheme="minorHAnsi" w:cstheme="minorHAnsi"/>
                <w:bCs/>
                <w:sz w:val="22"/>
                <w:szCs w:val="22"/>
                <w:lang w:eastAsia="ja-JP"/>
              </w:rPr>
              <w:t>O-H (Hydrogen-bonded alcohols, phenols) – Variabel, sometimes broad</w:t>
            </w:r>
          </w:p>
        </w:tc>
      </w:tr>
      <w:tr w:rsidR="00D64343" w:rsidRPr="0095391C" w14:paraId="634C9BB5" w14:textId="77777777" w:rsidTr="00F31F89">
        <w:trPr>
          <w:jc w:val="center"/>
        </w:trPr>
        <w:tc>
          <w:tcPr>
            <w:tcW w:w="1070" w:type="dxa"/>
            <w:tcBorders>
              <w:top w:val="nil"/>
              <w:left w:val="nil"/>
              <w:bottom w:val="nil"/>
              <w:right w:val="nil"/>
            </w:tcBorders>
            <w:shd w:val="clear" w:color="auto" w:fill="auto"/>
            <w:vAlign w:val="center"/>
            <w:hideMark/>
          </w:tcPr>
          <w:p w14:paraId="47891C00"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1629.91/ 88.95</w:t>
            </w:r>
          </w:p>
        </w:tc>
        <w:tc>
          <w:tcPr>
            <w:tcW w:w="1134" w:type="dxa"/>
            <w:tcBorders>
              <w:top w:val="nil"/>
              <w:left w:val="nil"/>
              <w:bottom w:val="nil"/>
              <w:right w:val="nil"/>
            </w:tcBorders>
            <w:shd w:val="clear" w:color="auto" w:fill="auto"/>
            <w:vAlign w:val="center"/>
            <w:hideMark/>
          </w:tcPr>
          <w:p w14:paraId="7203F98C"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1630.83/ 87.98</w:t>
            </w:r>
          </w:p>
        </w:tc>
        <w:tc>
          <w:tcPr>
            <w:tcW w:w="1134" w:type="dxa"/>
            <w:tcBorders>
              <w:top w:val="nil"/>
              <w:left w:val="nil"/>
              <w:bottom w:val="nil"/>
              <w:right w:val="nil"/>
            </w:tcBorders>
            <w:shd w:val="clear" w:color="auto" w:fill="auto"/>
            <w:vAlign w:val="center"/>
            <w:hideMark/>
          </w:tcPr>
          <w:p w14:paraId="1D896FFD"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1627.08/ 88.47</w:t>
            </w:r>
          </w:p>
        </w:tc>
        <w:tc>
          <w:tcPr>
            <w:tcW w:w="1275" w:type="dxa"/>
            <w:tcBorders>
              <w:top w:val="nil"/>
              <w:left w:val="nil"/>
              <w:bottom w:val="nil"/>
              <w:right w:val="nil"/>
            </w:tcBorders>
            <w:shd w:val="clear" w:color="auto" w:fill="auto"/>
            <w:vAlign w:val="center"/>
            <w:hideMark/>
          </w:tcPr>
          <w:p w14:paraId="3C9A079D"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1627.25/ 87.73</w:t>
            </w:r>
          </w:p>
        </w:tc>
        <w:tc>
          <w:tcPr>
            <w:tcW w:w="4567" w:type="dxa"/>
            <w:tcBorders>
              <w:top w:val="nil"/>
              <w:left w:val="nil"/>
              <w:bottom w:val="nil"/>
              <w:right w:val="nil"/>
            </w:tcBorders>
            <w:shd w:val="clear" w:color="auto" w:fill="auto"/>
            <w:vAlign w:val="center"/>
            <w:hideMark/>
          </w:tcPr>
          <w:p w14:paraId="7C22EF8B"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sz w:val="22"/>
                <w:szCs w:val="22"/>
                <w:lang w:eastAsia="ja-JP"/>
              </w:rPr>
            </w:pPr>
            <w:r w:rsidRPr="0095391C">
              <w:rPr>
                <w:rFonts w:asciiTheme="minorHAnsi" w:hAnsiTheme="minorHAnsi" w:cstheme="minorHAnsi"/>
                <w:bCs/>
                <w:sz w:val="22"/>
                <w:szCs w:val="22"/>
                <w:lang w:eastAsia="ja-JP"/>
              </w:rPr>
              <w:t>C=C (Alkenes ) - Variabel</w:t>
            </w:r>
          </w:p>
        </w:tc>
      </w:tr>
      <w:tr w:rsidR="00D64343" w:rsidRPr="0095391C" w14:paraId="45FE02EC" w14:textId="77777777" w:rsidTr="00F31F89">
        <w:trPr>
          <w:jc w:val="center"/>
        </w:trPr>
        <w:tc>
          <w:tcPr>
            <w:tcW w:w="1070" w:type="dxa"/>
            <w:tcBorders>
              <w:top w:val="nil"/>
              <w:left w:val="nil"/>
              <w:bottom w:val="nil"/>
              <w:right w:val="nil"/>
            </w:tcBorders>
            <w:shd w:val="clear" w:color="auto" w:fill="auto"/>
            <w:vAlign w:val="center"/>
            <w:hideMark/>
          </w:tcPr>
          <w:p w14:paraId="0CFE6478"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1022.11/ 66.40</w:t>
            </w:r>
          </w:p>
        </w:tc>
        <w:tc>
          <w:tcPr>
            <w:tcW w:w="1134" w:type="dxa"/>
            <w:tcBorders>
              <w:top w:val="nil"/>
              <w:left w:val="nil"/>
              <w:bottom w:val="nil"/>
              <w:right w:val="nil"/>
            </w:tcBorders>
            <w:shd w:val="clear" w:color="auto" w:fill="auto"/>
            <w:vAlign w:val="center"/>
            <w:hideMark/>
          </w:tcPr>
          <w:p w14:paraId="166110C9"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1025.50/ 63.19</w:t>
            </w:r>
          </w:p>
        </w:tc>
        <w:tc>
          <w:tcPr>
            <w:tcW w:w="1134" w:type="dxa"/>
            <w:tcBorders>
              <w:top w:val="nil"/>
              <w:left w:val="nil"/>
              <w:bottom w:val="nil"/>
              <w:right w:val="nil"/>
            </w:tcBorders>
            <w:shd w:val="clear" w:color="auto" w:fill="auto"/>
            <w:vAlign w:val="center"/>
            <w:hideMark/>
          </w:tcPr>
          <w:p w14:paraId="24CDA38C"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1005.72/ 65.20</w:t>
            </w:r>
          </w:p>
        </w:tc>
        <w:tc>
          <w:tcPr>
            <w:tcW w:w="1275" w:type="dxa"/>
            <w:tcBorders>
              <w:top w:val="nil"/>
              <w:left w:val="nil"/>
              <w:bottom w:val="nil"/>
              <w:right w:val="nil"/>
            </w:tcBorders>
            <w:shd w:val="clear" w:color="auto" w:fill="auto"/>
            <w:vAlign w:val="center"/>
            <w:hideMark/>
          </w:tcPr>
          <w:p w14:paraId="0007F201"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1017.08/ 62.29</w:t>
            </w:r>
          </w:p>
        </w:tc>
        <w:tc>
          <w:tcPr>
            <w:tcW w:w="4567" w:type="dxa"/>
            <w:tcBorders>
              <w:top w:val="nil"/>
              <w:left w:val="nil"/>
              <w:bottom w:val="nil"/>
              <w:right w:val="nil"/>
            </w:tcBorders>
            <w:shd w:val="clear" w:color="auto" w:fill="auto"/>
            <w:vAlign w:val="center"/>
            <w:hideMark/>
          </w:tcPr>
          <w:p w14:paraId="4BDBB00F"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sz w:val="22"/>
                <w:szCs w:val="22"/>
                <w:lang w:eastAsia="ja-JP"/>
              </w:rPr>
            </w:pPr>
            <w:r w:rsidRPr="0095391C">
              <w:rPr>
                <w:rFonts w:asciiTheme="minorHAnsi" w:hAnsiTheme="minorHAnsi" w:cstheme="minorHAnsi"/>
                <w:bCs/>
                <w:sz w:val="22"/>
                <w:szCs w:val="22"/>
                <w:lang w:eastAsia="ja-JP"/>
              </w:rPr>
              <w:t>C-O (Alcohols, ethers, carboxylic acid, esters) - Strong</w:t>
            </w:r>
          </w:p>
        </w:tc>
      </w:tr>
      <w:tr w:rsidR="00D64343" w:rsidRPr="0095391C" w14:paraId="4F6FD451" w14:textId="77777777" w:rsidTr="00F31F89">
        <w:trPr>
          <w:jc w:val="center"/>
        </w:trPr>
        <w:tc>
          <w:tcPr>
            <w:tcW w:w="1070" w:type="dxa"/>
            <w:tcBorders>
              <w:top w:val="nil"/>
              <w:left w:val="nil"/>
              <w:bottom w:val="nil"/>
              <w:right w:val="nil"/>
            </w:tcBorders>
            <w:shd w:val="clear" w:color="auto" w:fill="auto"/>
            <w:vAlign w:val="center"/>
            <w:hideMark/>
          </w:tcPr>
          <w:p w14:paraId="3CC2E62F"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w:t>
            </w:r>
          </w:p>
        </w:tc>
        <w:tc>
          <w:tcPr>
            <w:tcW w:w="1134" w:type="dxa"/>
            <w:tcBorders>
              <w:top w:val="nil"/>
              <w:left w:val="nil"/>
              <w:bottom w:val="nil"/>
              <w:right w:val="nil"/>
            </w:tcBorders>
            <w:shd w:val="clear" w:color="auto" w:fill="auto"/>
            <w:vAlign w:val="center"/>
            <w:hideMark/>
          </w:tcPr>
          <w:p w14:paraId="1C0579BC"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w:t>
            </w:r>
          </w:p>
        </w:tc>
        <w:tc>
          <w:tcPr>
            <w:tcW w:w="1134" w:type="dxa"/>
            <w:tcBorders>
              <w:top w:val="nil"/>
              <w:left w:val="nil"/>
              <w:bottom w:val="nil"/>
              <w:right w:val="nil"/>
            </w:tcBorders>
            <w:shd w:val="clear" w:color="auto" w:fill="auto"/>
            <w:vAlign w:val="center"/>
            <w:hideMark/>
          </w:tcPr>
          <w:p w14:paraId="191BE0EA"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w:t>
            </w:r>
          </w:p>
        </w:tc>
        <w:tc>
          <w:tcPr>
            <w:tcW w:w="1275" w:type="dxa"/>
            <w:tcBorders>
              <w:top w:val="nil"/>
              <w:left w:val="nil"/>
              <w:bottom w:val="nil"/>
              <w:right w:val="nil"/>
            </w:tcBorders>
            <w:shd w:val="clear" w:color="auto" w:fill="auto"/>
            <w:vAlign w:val="center"/>
            <w:hideMark/>
          </w:tcPr>
          <w:p w14:paraId="5D902CA6"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w:t>
            </w:r>
          </w:p>
        </w:tc>
        <w:tc>
          <w:tcPr>
            <w:tcW w:w="4567" w:type="dxa"/>
            <w:tcBorders>
              <w:top w:val="nil"/>
              <w:left w:val="nil"/>
              <w:bottom w:val="nil"/>
              <w:right w:val="nil"/>
            </w:tcBorders>
            <w:shd w:val="clear" w:color="auto" w:fill="auto"/>
            <w:vAlign w:val="center"/>
            <w:hideMark/>
          </w:tcPr>
          <w:p w14:paraId="7F0DCC9E"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sz w:val="22"/>
                <w:szCs w:val="22"/>
                <w:lang w:eastAsia="ja-JP"/>
              </w:rPr>
            </w:pPr>
            <w:r w:rsidRPr="0095391C">
              <w:rPr>
                <w:rFonts w:asciiTheme="minorHAnsi" w:hAnsiTheme="minorHAnsi" w:cstheme="minorHAnsi"/>
                <w:bCs/>
                <w:sz w:val="22"/>
                <w:szCs w:val="22"/>
                <w:lang w:eastAsia="ja-JP"/>
              </w:rPr>
              <w:t>C-H (Alkenes, Aromatic rings) - Strong</w:t>
            </w:r>
          </w:p>
        </w:tc>
      </w:tr>
      <w:tr w:rsidR="00D64343" w:rsidRPr="0095391C" w14:paraId="77242E5E" w14:textId="77777777" w:rsidTr="00F31F89">
        <w:trPr>
          <w:jc w:val="center"/>
        </w:trPr>
        <w:tc>
          <w:tcPr>
            <w:tcW w:w="1070" w:type="dxa"/>
            <w:tcBorders>
              <w:top w:val="nil"/>
              <w:left w:val="nil"/>
              <w:bottom w:val="single" w:sz="4" w:space="0" w:color="auto"/>
              <w:right w:val="nil"/>
            </w:tcBorders>
            <w:shd w:val="clear" w:color="auto" w:fill="auto"/>
            <w:vAlign w:val="center"/>
            <w:hideMark/>
          </w:tcPr>
          <w:p w14:paraId="1030F820"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546.79/ 50.50</w:t>
            </w:r>
          </w:p>
        </w:tc>
        <w:tc>
          <w:tcPr>
            <w:tcW w:w="1134" w:type="dxa"/>
            <w:tcBorders>
              <w:top w:val="nil"/>
              <w:left w:val="nil"/>
              <w:bottom w:val="single" w:sz="4" w:space="0" w:color="auto"/>
              <w:right w:val="nil"/>
            </w:tcBorders>
            <w:shd w:val="clear" w:color="auto" w:fill="auto"/>
            <w:vAlign w:val="center"/>
            <w:hideMark/>
          </w:tcPr>
          <w:p w14:paraId="41ABAF27"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546.97/ 48.26</w:t>
            </w:r>
          </w:p>
        </w:tc>
        <w:tc>
          <w:tcPr>
            <w:tcW w:w="1134" w:type="dxa"/>
            <w:tcBorders>
              <w:top w:val="nil"/>
              <w:left w:val="nil"/>
              <w:bottom w:val="single" w:sz="4" w:space="0" w:color="auto"/>
              <w:right w:val="nil"/>
            </w:tcBorders>
            <w:shd w:val="clear" w:color="auto" w:fill="auto"/>
            <w:vAlign w:val="center"/>
            <w:hideMark/>
          </w:tcPr>
          <w:p w14:paraId="726B489A" w14:textId="77777777" w:rsidR="008D18BD" w:rsidRPr="0095391C" w:rsidRDefault="008D18BD" w:rsidP="00E47701">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bCs/>
                <w:sz w:val="22"/>
                <w:szCs w:val="22"/>
                <w:lang w:eastAsia="ja-JP"/>
              </w:rPr>
              <w:t>548.60/ 48.80</w:t>
            </w:r>
          </w:p>
        </w:tc>
        <w:tc>
          <w:tcPr>
            <w:tcW w:w="1275" w:type="dxa"/>
            <w:tcBorders>
              <w:top w:val="nil"/>
              <w:left w:val="nil"/>
              <w:bottom w:val="single" w:sz="4" w:space="0" w:color="auto"/>
              <w:right w:val="nil"/>
            </w:tcBorders>
            <w:shd w:val="clear" w:color="auto" w:fill="auto"/>
            <w:vAlign w:val="center"/>
            <w:hideMark/>
          </w:tcPr>
          <w:p w14:paraId="18CD2932" w14:textId="77777777" w:rsidR="008D18BD" w:rsidRPr="0095391C" w:rsidRDefault="008D18BD" w:rsidP="00E47701">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w:t>
            </w:r>
          </w:p>
        </w:tc>
        <w:tc>
          <w:tcPr>
            <w:tcW w:w="4567" w:type="dxa"/>
            <w:tcBorders>
              <w:top w:val="nil"/>
              <w:left w:val="nil"/>
              <w:bottom w:val="single" w:sz="4" w:space="0" w:color="auto"/>
              <w:right w:val="nil"/>
            </w:tcBorders>
            <w:shd w:val="clear" w:color="auto" w:fill="auto"/>
            <w:vAlign w:val="center"/>
            <w:hideMark/>
          </w:tcPr>
          <w:p w14:paraId="11B21033" w14:textId="5755B1E2" w:rsidR="008D18BD" w:rsidRPr="0095391C" w:rsidRDefault="008D18BD" w:rsidP="007D3359">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 xml:space="preserve">Mineral (e.g </w:t>
            </w:r>
            <w:r w:rsidR="007D3359" w:rsidRPr="0095391C">
              <w:rPr>
                <w:rFonts w:asciiTheme="minorHAnsi" w:hAnsiTheme="minorHAnsi" w:cstheme="minorHAnsi"/>
                <w:sz w:val="22"/>
                <w:szCs w:val="22"/>
                <w:lang w:eastAsia="ja-JP"/>
              </w:rPr>
              <w:t xml:space="preserve">kaolinite, </w:t>
            </w:r>
            <w:r w:rsidRPr="0095391C">
              <w:rPr>
                <w:rFonts w:asciiTheme="minorHAnsi" w:hAnsiTheme="minorHAnsi" w:cstheme="minorHAnsi"/>
                <w:sz w:val="22"/>
                <w:szCs w:val="22"/>
                <w:lang w:eastAsia="ja-JP"/>
              </w:rPr>
              <w:t>CaO, MgO, and others)</w:t>
            </w:r>
          </w:p>
        </w:tc>
      </w:tr>
    </w:tbl>
    <w:p w14:paraId="6953BCA5" w14:textId="77777777" w:rsidR="008D18BD" w:rsidRPr="0095391C" w:rsidRDefault="008D18BD" w:rsidP="008D18BD">
      <w:pPr>
        <w:tabs>
          <w:tab w:val="left" w:pos="720"/>
        </w:tabs>
        <w:spacing w:before="0" w:line="276" w:lineRule="auto"/>
        <w:rPr>
          <w:rFonts w:asciiTheme="minorHAnsi" w:eastAsia="MS Mincho" w:hAnsiTheme="minorHAnsi" w:cstheme="minorHAnsi"/>
          <w:bCs/>
          <w:lang w:val="en-US"/>
        </w:rPr>
      </w:pPr>
    </w:p>
    <w:p w14:paraId="017C2DA0" w14:textId="7BB1DE38" w:rsidR="008D18BD" w:rsidRPr="0095391C" w:rsidRDefault="00F31F89" w:rsidP="008D18BD">
      <w:pPr>
        <w:tabs>
          <w:tab w:val="left" w:pos="720"/>
        </w:tabs>
        <w:spacing w:before="0" w:line="276" w:lineRule="auto"/>
        <w:rPr>
          <w:rFonts w:asciiTheme="minorHAnsi" w:hAnsiTheme="minorHAnsi" w:cstheme="minorHAnsi"/>
          <w:lang w:val="en-US"/>
        </w:rPr>
      </w:pPr>
      <w:r w:rsidRPr="0095391C">
        <w:rPr>
          <w:rFonts w:asciiTheme="minorHAnsi" w:hAnsiTheme="minorHAnsi" w:cstheme="minorHAnsi"/>
        </w:rPr>
        <w:t xml:space="preserve">The pesticide adsorption process carried out affected changes in the absorption bands of the adsorbents in glyphosate adsorption. </w:t>
      </w:r>
      <w:r w:rsidRPr="0095391C">
        <w:rPr>
          <w:rFonts w:asciiTheme="minorHAnsi" w:hAnsiTheme="minorHAnsi" w:cstheme="minorHAnsi"/>
          <w:lang w:val="en-US"/>
        </w:rPr>
        <w:t>T</w:t>
      </w:r>
      <w:r w:rsidRPr="0095391C">
        <w:rPr>
          <w:rFonts w:asciiTheme="minorHAnsi" w:hAnsiTheme="minorHAnsi" w:cstheme="minorHAnsi"/>
        </w:rPr>
        <w:t>he FT-IR spectrum of Inceptisol there was only a decrease in transmittance which indicated that the intensity of each group that appeared was 3272.74/87.96 (O-H: Hydrogen-bonded alcohols, phenols); 1627.08/ 88.47 (In C=C: Alkenes); 1005.72/ 65.20 (C-O: Alcohols, ethers, carboxylic acid, esters) and 548.60/ 48.80 (Minerals), after the adsorption process of glyphosate. The loss of mineral groups after the adsorption process on RH</w:t>
      </w:r>
      <w:r w:rsidRPr="0095391C">
        <w:rPr>
          <w:rFonts w:asciiTheme="minorHAnsi" w:hAnsiTheme="minorHAnsi" w:cstheme="minorHAnsi"/>
          <w:vertAlign w:val="subscript"/>
        </w:rPr>
        <w:t>B</w:t>
      </w:r>
      <w:r w:rsidRPr="0095391C">
        <w:rPr>
          <w:rFonts w:asciiTheme="minorHAnsi" w:hAnsiTheme="minorHAnsi" w:cstheme="minorHAnsi"/>
        </w:rPr>
        <w:t>/Ept, but high-intensity power in the O-H, C=C, and C-O groups with a decrease in transmittance to 3282.33 cm-1/86.91%; 1627.25 cm-1/ 87.73% and 1017.08 cm-1/ 62.29%.</w:t>
      </w:r>
    </w:p>
    <w:p w14:paraId="6160A6AC" w14:textId="77777777" w:rsidR="00F31F89" w:rsidRPr="0095391C" w:rsidRDefault="00F31F89" w:rsidP="008D18BD">
      <w:pPr>
        <w:tabs>
          <w:tab w:val="left" w:pos="720"/>
        </w:tabs>
        <w:spacing w:before="0" w:line="276" w:lineRule="auto"/>
        <w:rPr>
          <w:rFonts w:asciiTheme="minorHAnsi" w:hAnsiTheme="minorHAnsi" w:cstheme="minorHAnsi"/>
          <w:b/>
          <w:color w:val="000000" w:themeColor="text1"/>
          <w:lang w:val="en-US"/>
        </w:rPr>
      </w:pPr>
    </w:p>
    <w:p w14:paraId="256B3B6B" w14:textId="21E1A2E8" w:rsidR="008D18BD" w:rsidRPr="0095391C" w:rsidRDefault="00E47701" w:rsidP="008D18BD">
      <w:pPr>
        <w:pStyle w:val="Heading2"/>
        <w:tabs>
          <w:tab w:val="left" w:pos="720"/>
        </w:tabs>
        <w:autoSpaceDE w:val="0"/>
        <w:autoSpaceDN w:val="0"/>
        <w:spacing w:before="0" w:line="276" w:lineRule="auto"/>
        <w:rPr>
          <w:rFonts w:asciiTheme="minorHAnsi" w:eastAsia="MS Mincho" w:hAnsiTheme="minorHAnsi" w:cstheme="minorHAnsi"/>
          <w:b w:val="0"/>
          <w:bCs w:val="0"/>
          <w:color w:val="000000" w:themeColor="text1"/>
          <w:sz w:val="22"/>
          <w:szCs w:val="22"/>
          <w:lang w:val="en-US"/>
        </w:rPr>
      </w:pPr>
      <w:r w:rsidRPr="0095391C">
        <w:rPr>
          <w:rFonts w:asciiTheme="minorHAnsi" w:eastAsia="MS Mincho" w:hAnsiTheme="minorHAnsi" w:cstheme="minorHAnsi"/>
          <w:color w:val="000000" w:themeColor="text1"/>
          <w:sz w:val="22"/>
          <w:szCs w:val="22"/>
          <w:lang w:eastAsia="ja-JP"/>
        </w:rPr>
        <w:t>4.</w:t>
      </w:r>
      <w:r w:rsidRPr="0095391C">
        <w:rPr>
          <w:rFonts w:asciiTheme="minorHAnsi" w:eastAsia="MS Mincho" w:hAnsiTheme="minorHAnsi" w:cstheme="minorHAnsi"/>
          <w:color w:val="000000" w:themeColor="text1"/>
          <w:sz w:val="22"/>
          <w:szCs w:val="22"/>
          <w:lang w:val="en-US" w:eastAsia="ja-JP"/>
        </w:rPr>
        <w:t>2</w:t>
      </w:r>
      <w:r w:rsidR="008D18BD" w:rsidRPr="0095391C">
        <w:rPr>
          <w:rFonts w:asciiTheme="minorHAnsi" w:eastAsia="MS Mincho" w:hAnsiTheme="minorHAnsi" w:cstheme="minorHAnsi"/>
          <w:color w:val="000000" w:themeColor="text1"/>
          <w:sz w:val="22"/>
          <w:szCs w:val="22"/>
          <w:lang w:eastAsia="ja-JP"/>
        </w:rPr>
        <w:t xml:space="preserve"> </w:t>
      </w:r>
      <w:r w:rsidR="008D18BD" w:rsidRPr="0095391C">
        <w:rPr>
          <w:rFonts w:asciiTheme="minorHAnsi" w:eastAsia="MS Mincho" w:hAnsiTheme="minorHAnsi" w:cstheme="minorHAnsi"/>
          <w:color w:val="000000" w:themeColor="text1"/>
          <w:sz w:val="22"/>
          <w:szCs w:val="22"/>
        </w:rPr>
        <w:t xml:space="preserve">Physicochemical </w:t>
      </w:r>
      <w:r w:rsidR="008D18BD" w:rsidRPr="0095391C">
        <w:rPr>
          <w:rFonts w:asciiTheme="minorHAnsi" w:eastAsia="MS Mincho" w:hAnsiTheme="minorHAnsi" w:cstheme="minorHAnsi"/>
          <w:color w:val="000000" w:themeColor="text1"/>
          <w:sz w:val="22"/>
          <w:szCs w:val="22"/>
          <w:lang w:val="en-US"/>
        </w:rPr>
        <w:t>o</w:t>
      </w:r>
      <w:r w:rsidR="008D18BD" w:rsidRPr="0095391C">
        <w:rPr>
          <w:rFonts w:asciiTheme="minorHAnsi" w:eastAsia="MS Mincho" w:hAnsiTheme="minorHAnsi" w:cstheme="minorHAnsi"/>
          <w:color w:val="000000" w:themeColor="text1"/>
          <w:sz w:val="22"/>
          <w:szCs w:val="22"/>
        </w:rPr>
        <w:t xml:space="preserve">f </w:t>
      </w:r>
      <w:r w:rsidR="008D18BD" w:rsidRPr="0095391C">
        <w:rPr>
          <w:rFonts w:asciiTheme="minorHAnsi" w:eastAsia="MS Mincho" w:hAnsiTheme="minorHAnsi" w:cstheme="minorHAnsi"/>
          <w:bCs w:val="0"/>
          <w:iCs/>
          <w:color w:val="000000" w:themeColor="text1"/>
          <w:sz w:val="22"/>
          <w:szCs w:val="22"/>
        </w:rPr>
        <w:t xml:space="preserve">Inceptisols  </w:t>
      </w:r>
      <w:r w:rsidR="008D18BD" w:rsidRPr="0095391C">
        <w:rPr>
          <w:rFonts w:asciiTheme="minorHAnsi" w:eastAsia="MS Mincho" w:hAnsiTheme="minorHAnsi" w:cstheme="minorHAnsi"/>
          <w:bCs w:val="0"/>
          <w:iCs/>
          <w:color w:val="000000" w:themeColor="text1"/>
          <w:sz w:val="22"/>
          <w:szCs w:val="22"/>
          <w:lang w:val="en-US"/>
        </w:rPr>
        <w:t>a</w:t>
      </w:r>
      <w:r w:rsidR="008D18BD" w:rsidRPr="0095391C">
        <w:rPr>
          <w:rFonts w:asciiTheme="minorHAnsi" w:eastAsia="MS Mincho" w:hAnsiTheme="minorHAnsi" w:cstheme="minorHAnsi"/>
          <w:bCs w:val="0"/>
          <w:iCs/>
          <w:color w:val="000000" w:themeColor="text1"/>
          <w:sz w:val="22"/>
          <w:szCs w:val="22"/>
        </w:rPr>
        <w:t xml:space="preserve">nd </w:t>
      </w:r>
      <w:r w:rsidR="008D18BD" w:rsidRPr="0095391C">
        <w:rPr>
          <w:rFonts w:asciiTheme="minorHAnsi" w:hAnsiTheme="minorHAnsi" w:cstheme="minorHAnsi"/>
          <w:color w:val="000000" w:themeColor="text1"/>
          <w:sz w:val="22"/>
          <w:szCs w:val="22"/>
        </w:rPr>
        <w:t xml:space="preserve">Rice Husk Biochar Amended </w:t>
      </w:r>
      <w:r w:rsidR="008D18BD" w:rsidRPr="0095391C">
        <w:rPr>
          <w:rFonts w:asciiTheme="minorHAnsi" w:hAnsiTheme="minorHAnsi" w:cstheme="minorHAnsi"/>
          <w:color w:val="000000" w:themeColor="text1"/>
          <w:sz w:val="22"/>
          <w:szCs w:val="22"/>
          <w:lang w:val="en-US"/>
        </w:rPr>
        <w:t>Inceptisols</w:t>
      </w:r>
    </w:p>
    <w:p w14:paraId="7D796EC1" w14:textId="36A9F543" w:rsidR="008D18BD" w:rsidRPr="0095391C" w:rsidRDefault="008D18BD" w:rsidP="008D18BD">
      <w:pPr>
        <w:pStyle w:val="BodyText2"/>
        <w:tabs>
          <w:tab w:val="left" w:pos="720"/>
        </w:tabs>
        <w:spacing w:before="0" w:after="0" w:line="276" w:lineRule="auto"/>
        <w:jc w:val="both"/>
        <w:rPr>
          <w:rFonts w:asciiTheme="minorHAnsi" w:hAnsiTheme="minorHAnsi" w:cstheme="minorHAnsi"/>
          <w:sz w:val="22"/>
          <w:szCs w:val="22"/>
        </w:rPr>
      </w:pPr>
      <w:r w:rsidRPr="0095391C">
        <w:rPr>
          <w:rFonts w:asciiTheme="minorHAnsi" w:hAnsiTheme="minorHAnsi" w:cstheme="minorHAnsi"/>
          <w:sz w:val="22"/>
          <w:szCs w:val="22"/>
        </w:rPr>
        <w:t>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 xml:space="preserve"> is used for soil amendment in amelioration technology and adsorbent in glyphosate adsorption</w:t>
      </w:r>
      <w:r w:rsidR="008D692D" w:rsidRPr="0095391C">
        <w:rPr>
          <w:rFonts w:asciiTheme="minorHAnsi" w:hAnsiTheme="minorHAnsi" w:cstheme="minorHAnsi"/>
          <w:sz w:val="22"/>
          <w:szCs w:val="22"/>
        </w:rPr>
        <w:t>, where t</w:t>
      </w:r>
      <w:r w:rsidRPr="0095391C">
        <w:rPr>
          <w:rFonts w:asciiTheme="minorHAnsi" w:hAnsiTheme="minorHAnsi" w:cstheme="minorHAnsi"/>
          <w:sz w:val="22"/>
          <w:szCs w:val="22"/>
        </w:rPr>
        <w:t xml:space="preserve">he clay </w:t>
      </w:r>
      <w:r w:rsidR="008D692D" w:rsidRPr="0095391C">
        <w:rPr>
          <w:rFonts w:asciiTheme="minorHAnsi" w:hAnsiTheme="minorHAnsi" w:cstheme="minorHAnsi"/>
          <w:sz w:val="22"/>
          <w:szCs w:val="22"/>
        </w:rPr>
        <w:t>content of the soil is 5.90% of main component of the negative charge (coloids)</w:t>
      </w:r>
      <w:r w:rsidR="00F31F89" w:rsidRPr="0095391C">
        <w:rPr>
          <w:rFonts w:asciiTheme="minorHAnsi" w:hAnsiTheme="minorHAnsi" w:cstheme="minorHAnsi"/>
          <w:color w:val="000000" w:themeColor="text1"/>
          <w:sz w:val="22"/>
          <w:szCs w:val="22"/>
        </w:rPr>
        <w:t xml:space="preserve">. </w:t>
      </w:r>
      <w:r w:rsidR="008D692D" w:rsidRPr="0095391C">
        <w:rPr>
          <w:rFonts w:asciiTheme="minorHAnsi" w:hAnsiTheme="minorHAnsi" w:cstheme="minorHAnsi"/>
          <w:sz w:val="22"/>
          <w:szCs w:val="22"/>
        </w:rPr>
        <w:t>Table 2</w:t>
      </w:r>
      <w:r w:rsidRPr="0095391C">
        <w:rPr>
          <w:rFonts w:asciiTheme="minorHAnsi" w:hAnsiTheme="minorHAnsi" w:cstheme="minorHAnsi"/>
          <w:sz w:val="22"/>
          <w:szCs w:val="22"/>
        </w:rPr>
        <w:t xml:space="preserve"> shows the Inceptisol pH value of 4.97 units and an increase of 5.67 units with an increase of 0.70 units with the application of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 xml:space="preserve"> 40 t ha</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xml:space="preserve"> on Inceptisol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/E</w:t>
      </w:r>
      <w:r w:rsidR="006B351D" w:rsidRPr="0095391C">
        <w:rPr>
          <w:rFonts w:asciiTheme="minorHAnsi" w:hAnsiTheme="minorHAnsi" w:cstheme="minorHAnsi"/>
          <w:sz w:val="22"/>
          <w:szCs w:val="22"/>
        </w:rPr>
        <w:t>p</w:t>
      </w:r>
      <w:r w:rsidRPr="0095391C">
        <w:rPr>
          <w:rFonts w:asciiTheme="minorHAnsi" w:hAnsiTheme="minorHAnsi" w:cstheme="minorHAnsi"/>
          <w:sz w:val="22"/>
          <w:szCs w:val="22"/>
        </w:rPr>
        <w:t>t). It can be seen that the EC value of the soil increased by 0.03 dS m</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whereas the EC of Inceptisol was 0.08 dS m</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xml:space="preserve">  and increased by 0.11 dS m</w:t>
      </w:r>
      <w:r w:rsidRPr="0095391C">
        <w:rPr>
          <w:rFonts w:asciiTheme="minorHAnsi" w:hAnsiTheme="minorHAnsi" w:cstheme="minorHAnsi"/>
          <w:sz w:val="22"/>
          <w:szCs w:val="22"/>
          <w:vertAlign w:val="superscript"/>
        </w:rPr>
        <w:t>-1</w:t>
      </w:r>
      <w:r w:rsidR="006B351D" w:rsidRPr="0095391C">
        <w:rPr>
          <w:rFonts w:asciiTheme="minorHAnsi" w:hAnsiTheme="minorHAnsi" w:cstheme="minorHAnsi"/>
          <w:sz w:val="22"/>
          <w:szCs w:val="22"/>
        </w:rPr>
        <w:t xml:space="preserve"> after administration of </w:t>
      </w:r>
      <w:r w:rsidRPr="0095391C">
        <w:rPr>
          <w:rFonts w:asciiTheme="minorHAnsi" w:hAnsiTheme="minorHAnsi" w:cstheme="minorHAnsi"/>
          <w:sz w:val="22"/>
          <w:szCs w:val="22"/>
        </w:rPr>
        <w:t>40 t ha</w:t>
      </w:r>
      <w:r w:rsidRPr="0095391C">
        <w:rPr>
          <w:rFonts w:asciiTheme="minorHAnsi" w:hAnsiTheme="minorHAnsi" w:cstheme="minorHAnsi"/>
          <w:sz w:val="22"/>
          <w:szCs w:val="22"/>
          <w:vertAlign w:val="superscript"/>
        </w:rPr>
        <w:t>-1</w:t>
      </w:r>
      <w:r w:rsidR="006B351D" w:rsidRPr="0095391C">
        <w:rPr>
          <w:rFonts w:asciiTheme="minorHAnsi" w:hAnsiTheme="minorHAnsi" w:cstheme="minorHAnsi"/>
          <w:sz w:val="22"/>
          <w:szCs w:val="22"/>
        </w:rPr>
        <w:t xml:space="preserve"> RH</w:t>
      </w:r>
      <w:r w:rsidR="006B351D" w:rsidRPr="0095391C">
        <w:rPr>
          <w:rFonts w:asciiTheme="minorHAnsi" w:hAnsiTheme="minorHAnsi" w:cstheme="minorHAnsi"/>
          <w:sz w:val="22"/>
          <w:szCs w:val="22"/>
          <w:vertAlign w:val="subscript"/>
        </w:rPr>
        <w:t>B</w:t>
      </w:r>
      <w:r w:rsidR="006B351D" w:rsidRPr="0095391C">
        <w:rPr>
          <w:rFonts w:asciiTheme="minorHAnsi" w:hAnsiTheme="minorHAnsi" w:cstheme="minorHAnsi"/>
          <w:sz w:val="22"/>
          <w:szCs w:val="22"/>
        </w:rPr>
        <w:t xml:space="preserve"> amended Inceptisols. The amelioration on 40 t ha</w:t>
      </w:r>
      <w:r w:rsidR="006B351D" w:rsidRPr="0095391C">
        <w:rPr>
          <w:rFonts w:asciiTheme="minorHAnsi" w:hAnsiTheme="minorHAnsi" w:cstheme="minorHAnsi"/>
          <w:sz w:val="22"/>
          <w:szCs w:val="22"/>
          <w:vertAlign w:val="superscript"/>
        </w:rPr>
        <w:t>-1</w:t>
      </w:r>
      <w:r w:rsidR="006B351D" w:rsidRPr="0095391C">
        <w:rPr>
          <w:rFonts w:asciiTheme="minorHAnsi" w:hAnsiTheme="minorHAnsi" w:cstheme="minorHAnsi"/>
          <w:sz w:val="22"/>
          <w:szCs w:val="22"/>
        </w:rPr>
        <w:t xml:space="preserve"> of RH</w:t>
      </w:r>
      <w:r w:rsidR="006B351D" w:rsidRPr="0095391C">
        <w:rPr>
          <w:rFonts w:asciiTheme="minorHAnsi" w:hAnsiTheme="minorHAnsi" w:cstheme="minorHAnsi"/>
          <w:sz w:val="22"/>
          <w:szCs w:val="22"/>
          <w:vertAlign w:val="subscript"/>
        </w:rPr>
        <w:t>B</w:t>
      </w:r>
      <w:r w:rsidR="006B351D" w:rsidRPr="0095391C">
        <w:rPr>
          <w:rFonts w:asciiTheme="minorHAnsi" w:hAnsiTheme="minorHAnsi" w:cstheme="minorHAnsi"/>
          <w:sz w:val="22"/>
          <w:szCs w:val="22"/>
        </w:rPr>
        <w:t xml:space="preserve"> amended Inceptisols can increased CEC of 2 times from Inceptisol, which was 46.06 cmol kg</w:t>
      </w:r>
      <w:r w:rsidR="006B351D" w:rsidRPr="0095391C">
        <w:rPr>
          <w:rFonts w:asciiTheme="minorHAnsi" w:hAnsiTheme="minorHAnsi" w:cstheme="minorHAnsi"/>
          <w:sz w:val="22"/>
          <w:szCs w:val="22"/>
          <w:vertAlign w:val="superscript"/>
        </w:rPr>
        <w:t>-1</w:t>
      </w:r>
      <w:r w:rsidR="006B351D" w:rsidRPr="0095391C">
        <w:rPr>
          <w:rFonts w:asciiTheme="minorHAnsi" w:hAnsiTheme="minorHAnsi" w:cstheme="minorHAnsi"/>
          <w:sz w:val="22"/>
          <w:szCs w:val="22"/>
        </w:rPr>
        <w:t xml:space="preserve"> (from </w:t>
      </w:r>
      <w:r w:rsidR="006B351D" w:rsidRPr="0095391C">
        <w:rPr>
          <w:rFonts w:asciiTheme="minorHAnsi" w:hAnsiTheme="minorHAnsi" w:cstheme="minorHAnsi"/>
          <w:sz w:val="22"/>
          <w:szCs w:val="22"/>
        </w:rPr>
        <w:lastRenderedPageBreak/>
        <w:t>30.25 to 76.27 cmol kg</w:t>
      </w:r>
      <w:r w:rsidR="006B351D" w:rsidRPr="0095391C">
        <w:rPr>
          <w:rFonts w:asciiTheme="minorHAnsi" w:hAnsiTheme="minorHAnsi" w:cstheme="minorHAnsi"/>
          <w:sz w:val="22"/>
          <w:szCs w:val="22"/>
          <w:vertAlign w:val="superscript"/>
        </w:rPr>
        <w:t>-1</w:t>
      </w:r>
      <w:r w:rsidR="006B351D" w:rsidRPr="0095391C">
        <w:rPr>
          <w:rFonts w:asciiTheme="minorHAnsi" w:hAnsiTheme="minorHAnsi" w:cstheme="minorHAnsi"/>
          <w:sz w:val="22"/>
          <w:szCs w:val="22"/>
        </w:rPr>
        <w:t xml:space="preserve"> (Table 2). Table 2 show that mineral composition and SOM will change with the addition of organic or inorganic materials into the soil in amelioration technology, where the application of RH</w:t>
      </w:r>
      <w:r w:rsidR="006B351D" w:rsidRPr="0095391C">
        <w:rPr>
          <w:rFonts w:asciiTheme="minorHAnsi" w:hAnsiTheme="minorHAnsi" w:cstheme="minorHAnsi"/>
          <w:sz w:val="22"/>
          <w:szCs w:val="22"/>
          <w:vertAlign w:val="subscript"/>
        </w:rPr>
        <w:t>B</w:t>
      </w:r>
      <w:r w:rsidR="006B351D" w:rsidRPr="0095391C">
        <w:rPr>
          <w:rFonts w:asciiTheme="minorHAnsi" w:hAnsiTheme="minorHAnsi" w:cstheme="minorHAnsi"/>
          <w:sz w:val="22"/>
          <w:szCs w:val="22"/>
        </w:rPr>
        <w:t xml:space="preserve"> 40 t ha</w:t>
      </w:r>
      <w:r w:rsidR="006B351D" w:rsidRPr="0095391C">
        <w:rPr>
          <w:rFonts w:asciiTheme="minorHAnsi" w:hAnsiTheme="minorHAnsi" w:cstheme="minorHAnsi"/>
          <w:sz w:val="22"/>
          <w:szCs w:val="22"/>
          <w:vertAlign w:val="superscript"/>
        </w:rPr>
        <w:t>-1</w:t>
      </w:r>
      <w:r w:rsidR="006B351D" w:rsidRPr="0095391C">
        <w:rPr>
          <w:rFonts w:asciiTheme="minorHAnsi" w:hAnsiTheme="minorHAnsi" w:cstheme="minorHAnsi"/>
          <w:sz w:val="22"/>
          <w:szCs w:val="22"/>
        </w:rPr>
        <w:t xml:space="preserve"> (RH</w:t>
      </w:r>
      <w:r w:rsidR="006B351D" w:rsidRPr="0095391C">
        <w:rPr>
          <w:rFonts w:asciiTheme="minorHAnsi" w:hAnsiTheme="minorHAnsi" w:cstheme="minorHAnsi"/>
          <w:sz w:val="22"/>
          <w:szCs w:val="22"/>
          <w:vertAlign w:val="subscript"/>
        </w:rPr>
        <w:t>B</w:t>
      </w:r>
      <w:r w:rsidR="006B351D" w:rsidRPr="0095391C">
        <w:rPr>
          <w:rFonts w:asciiTheme="minorHAnsi" w:hAnsiTheme="minorHAnsi" w:cstheme="minorHAnsi"/>
          <w:sz w:val="22"/>
          <w:szCs w:val="22"/>
        </w:rPr>
        <w:t>/Ept) reduces ash content and increases SOM/C</w:t>
      </w:r>
      <w:r w:rsidR="006B351D" w:rsidRPr="0095391C">
        <w:rPr>
          <w:rFonts w:asciiTheme="minorHAnsi" w:hAnsiTheme="minorHAnsi" w:cstheme="minorHAnsi"/>
          <w:sz w:val="22"/>
          <w:szCs w:val="22"/>
          <w:vertAlign w:val="subscript"/>
        </w:rPr>
        <w:t>Organic</w:t>
      </w:r>
      <w:r w:rsidR="006B351D" w:rsidRPr="0095391C">
        <w:rPr>
          <w:rFonts w:asciiTheme="minorHAnsi" w:hAnsiTheme="minorHAnsi" w:cstheme="minorHAnsi"/>
          <w:sz w:val="22"/>
          <w:szCs w:val="22"/>
        </w:rPr>
        <w:t xml:space="preserve">, respectively -/+ 7.4%.  </w:t>
      </w:r>
    </w:p>
    <w:p w14:paraId="225C1964" w14:textId="7AE3FB4C" w:rsidR="00AC0E01" w:rsidRPr="0095391C" w:rsidRDefault="00AC0E01" w:rsidP="00C54385">
      <w:pPr>
        <w:pStyle w:val="BodyText2"/>
        <w:tabs>
          <w:tab w:val="left" w:pos="720"/>
        </w:tabs>
        <w:spacing w:before="0" w:after="0" w:line="276" w:lineRule="auto"/>
        <w:jc w:val="both"/>
        <w:rPr>
          <w:rFonts w:asciiTheme="minorHAnsi" w:hAnsiTheme="minorHAnsi" w:cstheme="minorHAnsi"/>
          <w:sz w:val="22"/>
          <w:szCs w:val="22"/>
        </w:rPr>
      </w:pPr>
      <w:r w:rsidRPr="0095391C">
        <w:rPr>
          <w:rFonts w:asciiTheme="minorHAnsi" w:hAnsiTheme="minorHAnsi" w:cstheme="minorHAnsi"/>
          <w:sz w:val="22"/>
          <w:szCs w:val="22"/>
        </w:rPr>
        <w:t xml:space="preserve">Table 2. </w:t>
      </w:r>
      <w:r w:rsidRPr="0095391C">
        <w:rPr>
          <w:rFonts w:asciiTheme="minorHAnsi" w:hAnsiTheme="minorHAnsi" w:cstheme="minorHAnsi"/>
          <w:color w:val="000000" w:themeColor="text1"/>
          <w:sz w:val="22"/>
          <w:szCs w:val="22"/>
        </w:rPr>
        <w:t xml:space="preserve">Negative change activity of </w:t>
      </w:r>
      <w:r w:rsidRPr="0095391C">
        <w:rPr>
          <w:rFonts w:asciiTheme="minorHAnsi" w:hAnsiTheme="minorHAnsi" w:cstheme="minorHAnsi"/>
          <w:sz w:val="22"/>
          <w:szCs w:val="22"/>
        </w:rPr>
        <w:t>Inceptisols</w:t>
      </w:r>
      <w:r w:rsidR="009D6F11" w:rsidRPr="0095391C">
        <w:rPr>
          <w:rFonts w:asciiTheme="minorHAnsi" w:hAnsiTheme="minorHAnsi" w:cstheme="minorHAnsi"/>
          <w:sz w:val="22"/>
          <w:szCs w:val="22"/>
        </w:rPr>
        <w:t xml:space="preserve"> and rice husk biochar </w:t>
      </w:r>
      <w:r w:rsidRPr="0095391C">
        <w:rPr>
          <w:rFonts w:asciiTheme="minorHAnsi" w:hAnsiTheme="minorHAnsi" w:cstheme="minorHAnsi"/>
          <w:sz w:val="22"/>
          <w:szCs w:val="22"/>
        </w:rPr>
        <w:t>amended Inceptisols</w:t>
      </w:r>
    </w:p>
    <w:tbl>
      <w:tblPr>
        <w:tblStyle w:val="TableGrid"/>
        <w:tblW w:w="91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6"/>
        <w:gridCol w:w="850"/>
        <w:gridCol w:w="851"/>
        <w:gridCol w:w="850"/>
        <w:gridCol w:w="1267"/>
        <w:gridCol w:w="992"/>
        <w:gridCol w:w="832"/>
        <w:gridCol w:w="992"/>
      </w:tblGrid>
      <w:tr w:rsidR="003E4B08" w:rsidRPr="0095391C" w14:paraId="008011DC" w14:textId="77777777" w:rsidTr="00D64343">
        <w:trPr>
          <w:trHeight w:val="20"/>
          <w:jc w:val="center"/>
        </w:trPr>
        <w:tc>
          <w:tcPr>
            <w:tcW w:w="2526" w:type="dxa"/>
            <w:vMerge w:val="restart"/>
            <w:tcBorders>
              <w:top w:val="single" w:sz="4" w:space="0" w:color="auto"/>
              <w:left w:val="nil"/>
              <w:bottom w:val="single" w:sz="4" w:space="0" w:color="auto"/>
              <w:right w:val="nil"/>
            </w:tcBorders>
            <w:shd w:val="clear" w:color="auto" w:fill="auto"/>
            <w:vAlign w:val="center"/>
            <w:hideMark/>
          </w:tcPr>
          <w:p w14:paraId="4246E852"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Soil</w:t>
            </w:r>
          </w:p>
        </w:tc>
        <w:tc>
          <w:tcPr>
            <w:tcW w:w="850" w:type="dxa"/>
            <w:vMerge w:val="restart"/>
            <w:tcBorders>
              <w:top w:val="single" w:sz="4" w:space="0" w:color="auto"/>
              <w:left w:val="nil"/>
              <w:bottom w:val="single" w:sz="4" w:space="0" w:color="auto"/>
              <w:right w:val="nil"/>
            </w:tcBorders>
            <w:shd w:val="clear" w:color="auto" w:fill="auto"/>
            <w:vAlign w:val="center"/>
            <w:hideMark/>
          </w:tcPr>
          <w:p w14:paraId="354B6735"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Clay</w:t>
            </w:r>
          </w:p>
        </w:tc>
        <w:tc>
          <w:tcPr>
            <w:tcW w:w="851" w:type="dxa"/>
            <w:vMerge w:val="restart"/>
            <w:tcBorders>
              <w:top w:val="single" w:sz="4" w:space="0" w:color="auto"/>
              <w:left w:val="nil"/>
              <w:bottom w:val="single" w:sz="4" w:space="0" w:color="auto"/>
              <w:right w:val="nil"/>
            </w:tcBorders>
            <w:shd w:val="clear" w:color="auto" w:fill="auto"/>
            <w:vAlign w:val="center"/>
            <w:hideMark/>
          </w:tcPr>
          <w:p w14:paraId="28C338CB"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pH</w:t>
            </w:r>
            <w:r w:rsidRPr="0095391C">
              <w:rPr>
                <w:rFonts w:asciiTheme="minorHAnsi" w:hAnsiTheme="minorHAnsi" w:cstheme="minorHAnsi"/>
                <w:color w:val="000000" w:themeColor="text1"/>
                <w:vertAlign w:val="subscript"/>
                <w:lang w:eastAsia="ja-JP"/>
              </w:rPr>
              <w:t>active</w:t>
            </w:r>
          </w:p>
        </w:tc>
        <w:tc>
          <w:tcPr>
            <w:tcW w:w="850" w:type="dxa"/>
            <w:vMerge w:val="restart"/>
            <w:tcBorders>
              <w:top w:val="single" w:sz="4" w:space="0" w:color="auto"/>
              <w:left w:val="nil"/>
              <w:bottom w:val="single" w:sz="4" w:space="0" w:color="auto"/>
              <w:right w:val="nil"/>
            </w:tcBorders>
            <w:shd w:val="clear" w:color="auto" w:fill="auto"/>
            <w:vAlign w:val="center"/>
            <w:hideMark/>
          </w:tcPr>
          <w:p w14:paraId="646683BC"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EC</w:t>
            </w:r>
          </w:p>
        </w:tc>
        <w:tc>
          <w:tcPr>
            <w:tcW w:w="1267" w:type="dxa"/>
            <w:vMerge w:val="restart"/>
            <w:tcBorders>
              <w:top w:val="single" w:sz="4" w:space="0" w:color="auto"/>
              <w:left w:val="nil"/>
              <w:bottom w:val="single" w:sz="4" w:space="0" w:color="auto"/>
              <w:right w:val="nil"/>
            </w:tcBorders>
            <w:shd w:val="clear" w:color="auto" w:fill="auto"/>
            <w:vAlign w:val="center"/>
            <w:hideMark/>
          </w:tcPr>
          <w:p w14:paraId="4BD8A1C8"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CEC</w:t>
            </w:r>
          </w:p>
        </w:tc>
        <w:tc>
          <w:tcPr>
            <w:tcW w:w="2816" w:type="dxa"/>
            <w:gridSpan w:val="3"/>
            <w:tcBorders>
              <w:top w:val="single" w:sz="4" w:space="0" w:color="auto"/>
              <w:left w:val="nil"/>
              <w:bottom w:val="single" w:sz="4" w:space="0" w:color="auto"/>
              <w:right w:val="nil"/>
            </w:tcBorders>
            <w:shd w:val="clear" w:color="auto" w:fill="auto"/>
            <w:vAlign w:val="center"/>
            <w:hideMark/>
          </w:tcPr>
          <w:p w14:paraId="50C3515E"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lang w:eastAsia="ja-JP"/>
              </w:rPr>
            </w:pPr>
            <w:r w:rsidRPr="0095391C">
              <w:rPr>
                <w:rFonts w:asciiTheme="minorHAnsi" w:hAnsiTheme="minorHAnsi" w:cstheme="minorHAnsi"/>
                <w:color w:val="000000" w:themeColor="text1"/>
                <w:lang w:eastAsia="ja-JP"/>
              </w:rPr>
              <w:t>Dry-ashing Method</w:t>
            </w:r>
          </w:p>
        </w:tc>
      </w:tr>
      <w:tr w:rsidR="003E4B08" w:rsidRPr="0095391C" w14:paraId="58B5592F" w14:textId="77777777" w:rsidTr="00D64343">
        <w:trPr>
          <w:trHeight w:val="20"/>
          <w:jc w:val="center"/>
        </w:trPr>
        <w:tc>
          <w:tcPr>
            <w:tcW w:w="2526" w:type="dxa"/>
            <w:vMerge/>
            <w:tcBorders>
              <w:top w:val="single" w:sz="4" w:space="0" w:color="auto"/>
              <w:left w:val="nil"/>
              <w:bottom w:val="single" w:sz="4" w:space="0" w:color="auto"/>
              <w:right w:val="nil"/>
            </w:tcBorders>
            <w:shd w:val="clear" w:color="auto" w:fill="auto"/>
            <w:vAlign w:val="center"/>
            <w:hideMark/>
          </w:tcPr>
          <w:p w14:paraId="4C39D626" w14:textId="77777777" w:rsidR="003E4B08" w:rsidRPr="0095391C" w:rsidRDefault="003E4B08" w:rsidP="003E4B08">
            <w:pPr>
              <w:spacing w:before="0" w:line="240" w:lineRule="auto"/>
              <w:jc w:val="left"/>
              <w:rPr>
                <w:rFonts w:asciiTheme="minorHAnsi" w:hAnsiTheme="minorHAnsi" w:cstheme="minorHAnsi"/>
                <w:bCs/>
                <w:color w:val="000000" w:themeColor="text1"/>
                <w:lang w:eastAsia="ja-JP"/>
              </w:rPr>
            </w:pPr>
          </w:p>
        </w:tc>
        <w:tc>
          <w:tcPr>
            <w:tcW w:w="850" w:type="dxa"/>
            <w:vMerge/>
            <w:tcBorders>
              <w:top w:val="single" w:sz="4" w:space="0" w:color="auto"/>
              <w:left w:val="nil"/>
              <w:bottom w:val="single" w:sz="4" w:space="0" w:color="auto"/>
              <w:right w:val="nil"/>
            </w:tcBorders>
            <w:shd w:val="clear" w:color="auto" w:fill="auto"/>
            <w:vAlign w:val="center"/>
            <w:hideMark/>
          </w:tcPr>
          <w:p w14:paraId="61D9569B" w14:textId="77777777" w:rsidR="003E4B08" w:rsidRPr="0095391C" w:rsidRDefault="003E4B08" w:rsidP="003E4B08">
            <w:pPr>
              <w:spacing w:before="0" w:line="240" w:lineRule="auto"/>
              <w:jc w:val="left"/>
              <w:rPr>
                <w:rFonts w:asciiTheme="minorHAnsi" w:hAnsiTheme="minorHAnsi" w:cstheme="minorHAnsi"/>
                <w:bCs/>
                <w:color w:val="000000" w:themeColor="text1"/>
                <w:lang w:eastAsia="ja-JP"/>
              </w:rPr>
            </w:pPr>
          </w:p>
        </w:tc>
        <w:tc>
          <w:tcPr>
            <w:tcW w:w="851" w:type="dxa"/>
            <w:vMerge/>
            <w:tcBorders>
              <w:top w:val="single" w:sz="4" w:space="0" w:color="auto"/>
              <w:left w:val="nil"/>
              <w:bottom w:val="single" w:sz="4" w:space="0" w:color="auto"/>
              <w:right w:val="nil"/>
            </w:tcBorders>
            <w:shd w:val="clear" w:color="auto" w:fill="auto"/>
            <w:vAlign w:val="center"/>
            <w:hideMark/>
          </w:tcPr>
          <w:p w14:paraId="69DC65B4" w14:textId="77777777" w:rsidR="003E4B08" w:rsidRPr="0095391C" w:rsidRDefault="003E4B08" w:rsidP="003E4B08">
            <w:pPr>
              <w:spacing w:before="0" w:line="240" w:lineRule="auto"/>
              <w:jc w:val="left"/>
              <w:rPr>
                <w:rFonts w:asciiTheme="minorHAnsi" w:hAnsiTheme="minorHAnsi" w:cstheme="minorHAnsi"/>
                <w:bCs/>
                <w:color w:val="000000" w:themeColor="text1"/>
                <w:lang w:eastAsia="ja-JP"/>
              </w:rPr>
            </w:pPr>
          </w:p>
        </w:tc>
        <w:tc>
          <w:tcPr>
            <w:tcW w:w="850" w:type="dxa"/>
            <w:vMerge/>
            <w:tcBorders>
              <w:top w:val="single" w:sz="4" w:space="0" w:color="auto"/>
              <w:left w:val="nil"/>
              <w:bottom w:val="single" w:sz="4" w:space="0" w:color="auto"/>
              <w:right w:val="nil"/>
            </w:tcBorders>
            <w:shd w:val="clear" w:color="auto" w:fill="auto"/>
            <w:vAlign w:val="center"/>
            <w:hideMark/>
          </w:tcPr>
          <w:p w14:paraId="47368BB9" w14:textId="77777777" w:rsidR="003E4B08" w:rsidRPr="0095391C" w:rsidRDefault="003E4B08" w:rsidP="003E4B08">
            <w:pPr>
              <w:spacing w:before="0" w:line="240" w:lineRule="auto"/>
              <w:jc w:val="left"/>
              <w:rPr>
                <w:rFonts w:asciiTheme="minorHAnsi" w:hAnsiTheme="minorHAnsi" w:cstheme="minorHAnsi"/>
                <w:bCs/>
                <w:color w:val="000000" w:themeColor="text1"/>
                <w:lang w:eastAsia="ja-JP"/>
              </w:rPr>
            </w:pPr>
          </w:p>
        </w:tc>
        <w:tc>
          <w:tcPr>
            <w:tcW w:w="1267" w:type="dxa"/>
            <w:vMerge/>
            <w:tcBorders>
              <w:top w:val="single" w:sz="4" w:space="0" w:color="auto"/>
              <w:left w:val="nil"/>
              <w:bottom w:val="single" w:sz="4" w:space="0" w:color="auto"/>
              <w:right w:val="nil"/>
            </w:tcBorders>
            <w:shd w:val="clear" w:color="auto" w:fill="auto"/>
            <w:vAlign w:val="center"/>
            <w:hideMark/>
          </w:tcPr>
          <w:p w14:paraId="129B102D" w14:textId="77777777" w:rsidR="003E4B08" w:rsidRPr="0095391C" w:rsidRDefault="003E4B08" w:rsidP="003E4B08">
            <w:pPr>
              <w:spacing w:before="0" w:line="240" w:lineRule="auto"/>
              <w:jc w:val="left"/>
              <w:rPr>
                <w:rFonts w:asciiTheme="minorHAnsi" w:hAnsiTheme="minorHAnsi" w:cstheme="minorHAnsi"/>
                <w:bCs/>
                <w:color w:val="000000" w:themeColor="text1"/>
                <w:lang w:eastAsia="ja-JP"/>
              </w:rPr>
            </w:pPr>
          </w:p>
        </w:tc>
        <w:tc>
          <w:tcPr>
            <w:tcW w:w="992" w:type="dxa"/>
            <w:tcBorders>
              <w:top w:val="single" w:sz="4" w:space="0" w:color="auto"/>
              <w:left w:val="nil"/>
              <w:bottom w:val="single" w:sz="4" w:space="0" w:color="auto"/>
              <w:right w:val="nil"/>
            </w:tcBorders>
            <w:shd w:val="clear" w:color="auto" w:fill="auto"/>
            <w:vAlign w:val="center"/>
            <w:hideMark/>
          </w:tcPr>
          <w:p w14:paraId="61C84B43"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Mineral</w:t>
            </w:r>
          </w:p>
        </w:tc>
        <w:tc>
          <w:tcPr>
            <w:tcW w:w="832" w:type="dxa"/>
            <w:tcBorders>
              <w:top w:val="single" w:sz="4" w:space="0" w:color="auto"/>
              <w:left w:val="nil"/>
              <w:bottom w:val="single" w:sz="4" w:space="0" w:color="auto"/>
              <w:right w:val="nil"/>
            </w:tcBorders>
            <w:shd w:val="clear" w:color="auto" w:fill="auto"/>
            <w:vAlign w:val="center"/>
            <w:hideMark/>
          </w:tcPr>
          <w:p w14:paraId="5BFC3D07"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SOM</w:t>
            </w:r>
          </w:p>
        </w:tc>
        <w:tc>
          <w:tcPr>
            <w:tcW w:w="992" w:type="dxa"/>
            <w:tcBorders>
              <w:top w:val="single" w:sz="4" w:space="0" w:color="auto"/>
              <w:left w:val="nil"/>
              <w:bottom w:val="single" w:sz="4" w:space="0" w:color="auto"/>
              <w:right w:val="nil"/>
            </w:tcBorders>
            <w:shd w:val="clear" w:color="auto" w:fill="auto"/>
            <w:vAlign w:val="center"/>
            <w:hideMark/>
          </w:tcPr>
          <w:p w14:paraId="76BE20C3"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vertAlign w:val="superscript"/>
                <w:lang w:eastAsia="ja-JP"/>
              </w:rPr>
              <w:t>a</w:t>
            </w:r>
            <w:r w:rsidRPr="0095391C">
              <w:rPr>
                <w:rFonts w:asciiTheme="minorHAnsi" w:hAnsiTheme="minorHAnsi" w:cstheme="minorHAnsi"/>
                <w:color w:val="000000" w:themeColor="text1"/>
                <w:lang w:eastAsia="ja-JP"/>
              </w:rPr>
              <w:t>C Organic</w:t>
            </w:r>
          </w:p>
        </w:tc>
      </w:tr>
      <w:tr w:rsidR="003E4B08" w:rsidRPr="0095391C" w14:paraId="28E82A25" w14:textId="77777777" w:rsidTr="00D64343">
        <w:trPr>
          <w:trHeight w:val="20"/>
          <w:jc w:val="center"/>
        </w:trPr>
        <w:tc>
          <w:tcPr>
            <w:tcW w:w="2526" w:type="dxa"/>
            <w:vMerge/>
            <w:tcBorders>
              <w:top w:val="single" w:sz="4" w:space="0" w:color="auto"/>
              <w:left w:val="nil"/>
              <w:bottom w:val="single" w:sz="4" w:space="0" w:color="auto"/>
              <w:right w:val="nil"/>
            </w:tcBorders>
            <w:shd w:val="clear" w:color="auto" w:fill="auto"/>
            <w:vAlign w:val="center"/>
            <w:hideMark/>
          </w:tcPr>
          <w:p w14:paraId="402B36EB" w14:textId="77777777" w:rsidR="003E4B08" w:rsidRPr="0095391C" w:rsidRDefault="003E4B08" w:rsidP="003E4B08">
            <w:pPr>
              <w:spacing w:before="0" w:line="240" w:lineRule="auto"/>
              <w:jc w:val="left"/>
              <w:rPr>
                <w:rFonts w:asciiTheme="minorHAnsi" w:hAnsiTheme="minorHAnsi" w:cstheme="minorHAnsi"/>
                <w:bCs/>
                <w:color w:val="000000" w:themeColor="text1"/>
                <w:lang w:eastAsia="ja-JP"/>
              </w:rPr>
            </w:pPr>
          </w:p>
        </w:tc>
        <w:tc>
          <w:tcPr>
            <w:tcW w:w="850" w:type="dxa"/>
            <w:tcBorders>
              <w:top w:val="single" w:sz="4" w:space="0" w:color="auto"/>
              <w:left w:val="nil"/>
              <w:bottom w:val="single" w:sz="4" w:space="0" w:color="auto"/>
              <w:right w:val="nil"/>
            </w:tcBorders>
            <w:shd w:val="clear" w:color="auto" w:fill="auto"/>
            <w:hideMark/>
          </w:tcPr>
          <w:p w14:paraId="54E69CDA"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w:t>
            </w:r>
          </w:p>
        </w:tc>
        <w:tc>
          <w:tcPr>
            <w:tcW w:w="851" w:type="dxa"/>
            <w:tcBorders>
              <w:top w:val="single" w:sz="4" w:space="0" w:color="auto"/>
              <w:left w:val="nil"/>
              <w:bottom w:val="single" w:sz="4" w:space="0" w:color="auto"/>
              <w:right w:val="nil"/>
            </w:tcBorders>
            <w:shd w:val="clear" w:color="auto" w:fill="auto"/>
            <w:vAlign w:val="center"/>
            <w:hideMark/>
          </w:tcPr>
          <w:p w14:paraId="2E1C3BFA"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unit</w:t>
            </w:r>
          </w:p>
        </w:tc>
        <w:tc>
          <w:tcPr>
            <w:tcW w:w="850" w:type="dxa"/>
            <w:tcBorders>
              <w:top w:val="single" w:sz="4" w:space="0" w:color="auto"/>
              <w:left w:val="nil"/>
              <w:bottom w:val="single" w:sz="4" w:space="0" w:color="auto"/>
              <w:right w:val="nil"/>
            </w:tcBorders>
            <w:shd w:val="clear" w:color="auto" w:fill="auto"/>
            <w:vAlign w:val="center"/>
            <w:hideMark/>
          </w:tcPr>
          <w:p w14:paraId="0C35A510"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vertAlign w:val="superscript"/>
                <w:lang w:eastAsia="ja-JP"/>
              </w:rPr>
            </w:pPr>
            <w:r w:rsidRPr="0095391C">
              <w:rPr>
                <w:rFonts w:asciiTheme="minorHAnsi" w:hAnsiTheme="minorHAnsi" w:cstheme="minorHAnsi"/>
                <w:color w:val="000000" w:themeColor="text1"/>
                <w:lang w:eastAsia="ja-JP"/>
              </w:rPr>
              <w:t>dS m</w:t>
            </w:r>
            <w:r w:rsidRPr="0095391C">
              <w:rPr>
                <w:rFonts w:asciiTheme="minorHAnsi" w:hAnsiTheme="minorHAnsi" w:cstheme="minorHAnsi"/>
                <w:color w:val="000000" w:themeColor="text1"/>
                <w:vertAlign w:val="superscript"/>
                <w:lang w:eastAsia="ja-JP"/>
              </w:rPr>
              <w:t>-1</w:t>
            </w:r>
          </w:p>
        </w:tc>
        <w:tc>
          <w:tcPr>
            <w:tcW w:w="1267" w:type="dxa"/>
            <w:tcBorders>
              <w:top w:val="single" w:sz="4" w:space="0" w:color="auto"/>
              <w:left w:val="nil"/>
              <w:bottom w:val="single" w:sz="4" w:space="0" w:color="auto"/>
              <w:right w:val="nil"/>
            </w:tcBorders>
            <w:shd w:val="clear" w:color="auto" w:fill="auto"/>
            <w:vAlign w:val="center"/>
            <w:hideMark/>
          </w:tcPr>
          <w:p w14:paraId="010A15FB"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vertAlign w:val="superscript"/>
                <w:lang w:eastAsia="ja-JP"/>
              </w:rPr>
            </w:pPr>
            <w:r w:rsidRPr="0095391C">
              <w:rPr>
                <w:rFonts w:asciiTheme="minorHAnsi" w:hAnsiTheme="minorHAnsi" w:cstheme="minorHAnsi"/>
                <w:color w:val="000000" w:themeColor="text1"/>
                <w:lang w:eastAsia="ja-JP"/>
              </w:rPr>
              <w:t>cmol</w:t>
            </w:r>
            <w:r w:rsidRPr="0095391C">
              <w:rPr>
                <w:rFonts w:asciiTheme="minorHAnsi" w:hAnsiTheme="minorHAnsi" w:cstheme="minorHAnsi"/>
                <w:color w:val="000000" w:themeColor="text1"/>
                <w:vertAlign w:val="subscript"/>
                <w:lang w:eastAsia="ja-JP"/>
              </w:rPr>
              <w:t>(+)</w:t>
            </w:r>
            <w:r w:rsidRPr="0095391C">
              <w:rPr>
                <w:rFonts w:asciiTheme="minorHAnsi" w:hAnsiTheme="minorHAnsi" w:cstheme="minorHAnsi"/>
                <w:color w:val="000000" w:themeColor="text1"/>
                <w:lang w:eastAsia="ja-JP"/>
              </w:rPr>
              <w:t xml:space="preserve"> kg</w:t>
            </w:r>
            <w:r w:rsidRPr="0095391C">
              <w:rPr>
                <w:rFonts w:asciiTheme="minorHAnsi" w:hAnsiTheme="minorHAnsi" w:cstheme="minorHAnsi"/>
                <w:color w:val="000000" w:themeColor="text1"/>
                <w:vertAlign w:val="superscript"/>
                <w:lang w:eastAsia="ja-JP"/>
              </w:rPr>
              <w:t>-1</w:t>
            </w:r>
          </w:p>
        </w:tc>
        <w:tc>
          <w:tcPr>
            <w:tcW w:w="2816" w:type="dxa"/>
            <w:gridSpan w:val="3"/>
            <w:tcBorders>
              <w:top w:val="single" w:sz="4" w:space="0" w:color="auto"/>
              <w:left w:val="nil"/>
              <w:bottom w:val="single" w:sz="4" w:space="0" w:color="auto"/>
              <w:right w:val="nil"/>
            </w:tcBorders>
            <w:shd w:val="clear" w:color="auto" w:fill="auto"/>
            <w:vAlign w:val="center"/>
            <w:hideMark/>
          </w:tcPr>
          <w:p w14:paraId="7AF9F660" w14:textId="77777777" w:rsidR="003E4B08" w:rsidRPr="0095391C" w:rsidRDefault="003E4B08" w:rsidP="003E4B08">
            <w:pPr>
              <w:tabs>
                <w:tab w:val="left" w:pos="284"/>
                <w:tab w:val="left" w:pos="993"/>
              </w:tabs>
              <w:autoSpaceDE w:val="0"/>
              <w:autoSpaceDN w:val="0"/>
              <w:adjustRightInd w:val="0"/>
              <w:spacing w:before="0" w:line="240" w:lineRule="auto"/>
              <w:jc w:val="center"/>
              <w:rPr>
                <w:rFonts w:asciiTheme="minorHAnsi" w:hAnsiTheme="minorHAnsi" w:cstheme="minorHAnsi"/>
                <w:bCs/>
                <w:color w:val="000000" w:themeColor="text1"/>
                <w:lang w:eastAsia="ja-JP"/>
              </w:rPr>
            </w:pPr>
            <w:r w:rsidRPr="0095391C">
              <w:rPr>
                <w:rFonts w:asciiTheme="minorHAnsi" w:hAnsiTheme="minorHAnsi" w:cstheme="minorHAnsi"/>
                <w:color w:val="000000" w:themeColor="text1"/>
                <w:lang w:eastAsia="ja-JP"/>
              </w:rPr>
              <w:t>%</w:t>
            </w:r>
          </w:p>
        </w:tc>
      </w:tr>
      <w:tr w:rsidR="003E4B08" w:rsidRPr="0095391C" w14:paraId="11C666D4" w14:textId="77777777" w:rsidTr="00D64343">
        <w:trPr>
          <w:trHeight w:val="20"/>
          <w:jc w:val="center"/>
        </w:trPr>
        <w:tc>
          <w:tcPr>
            <w:tcW w:w="2526" w:type="dxa"/>
            <w:shd w:val="clear" w:color="auto" w:fill="auto"/>
            <w:vAlign w:val="center"/>
            <w:hideMark/>
          </w:tcPr>
          <w:p w14:paraId="6DA584E3" w14:textId="77777777" w:rsidR="003E4B08" w:rsidRPr="0095391C" w:rsidRDefault="003E4B08" w:rsidP="003E4B08">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Inceptiols</w:t>
            </w:r>
          </w:p>
        </w:tc>
        <w:tc>
          <w:tcPr>
            <w:tcW w:w="850" w:type="dxa"/>
            <w:vMerge w:val="restart"/>
            <w:tcBorders>
              <w:top w:val="nil"/>
              <w:left w:val="nil"/>
              <w:bottom w:val="single" w:sz="4" w:space="0" w:color="auto"/>
              <w:right w:val="nil"/>
            </w:tcBorders>
            <w:shd w:val="clear" w:color="auto" w:fill="auto"/>
            <w:vAlign w:val="center"/>
            <w:hideMark/>
          </w:tcPr>
          <w:p w14:paraId="01E7E231" w14:textId="77777777" w:rsidR="003E4B08" w:rsidRPr="0095391C" w:rsidRDefault="003E4B08" w:rsidP="003E4B08">
            <w:pPr>
              <w:pStyle w:val="BodyText2"/>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5.90</w:t>
            </w:r>
          </w:p>
        </w:tc>
        <w:tc>
          <w:tcPr>
            <w:tcW w:w="851" w:type="dxa"/>
            <w:shd w:val="clear" w:color="auto" w:fill="auto"/>
            <w:vAlign w:val="center"/>
            <w:hideMark/>
          </w:tcPr>
          <w:p w14:paraId="37DD30AB"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4.97</w:t>
            </w:r>
          </w:p>
        </w:tc>
        <w:tc>
          <w:tcPr>
            <w:tcW w:w="850" w:type="dxa"/>
            <w:shd w:val="clear" w:color="auto" w:fill="auto"/>
            <w:vAlign w:val="center"/>
            <w:hideMark/>
          </w:tcPr>
          <w:p w14:paraId="3BA0D2CF"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color w:val="000000"/>
                <w:sz w:val="22"/>
                <w:szCs w:val="22"/>
                <w:lang w:eastAsia="ja-JP"/>
              </w:rPr>
              <w:t>0.08</w:t>
            </w:r>
          </w:p>
        </w:tc>
        <w:tc>
          <w:tcPr>
            <w:tcW w:w="1267" w:type="dxa"/>
            <w:shd w:val="clear" w:color="auto" w:fill="auto"/>
            <w:vAlign w:val="center"/>
            <w:hideMark/>
          </w:tcPr>
          <w:p w14:paraId="23C43301"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30.25</w:t>
            </w:r>
          </w:p>
        </w:tc>
        <w:tc>
          <w:tcPr>
            <w:tcW w:w="992" w:type="dxa"/>
            <w:shd w:val="clear" w:color="auto" w:fill="auto"/>
            <w:vAlign w:val="center"/>
            <w:hideMark/>
          </w:tcPr>
          <w:p w14:paraId="38E5851B"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70.80</w:t>
            </w:r>
          </w:p>
        </w:tc>
        <w:tc>
          <w:tcPr>
            <w:tcW w:w="832" w:type="dxa"/>
            <w:shd w:val="clear" w:color="auto" w:fill="auto"/>
            <w:vAlign w:val="center"/>
            <w:hideMark/>
          </w:tcPr>
          <w:p w14:paraId="58302B2F"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29.20</w:t>
            </w:r>
          </w:p>
        </w:tc>
        <w:tc>
          <w:tcPr>
            <w:tcW w:w="992" w:type="dxa"/>
            <w:shd w:val="clear" w:color="auto" w:fill="auto"/>
            <w:vAlign w:val="center"/>
            <w:hideMark/>
          </w:tcPr>
          <w:p w14:paraId="4AF583C3"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16.94</w:t>
            </w:r>
          </w:p>
        </w:tc>
      </w:tr>
      <w:tr w:rsidR="003E4B08" w:rsidRPr="0095391C" w14:paraId="181505B9" w14:textId="77777777" w:rsidTr="00D64343">
        <w:trPr>
          <w:trHeight w:val="20"/>
          <w:jc w:val="center"/>
        </w:trPr>
        <w:tc>
          <w:tcPr>
            <w:tcW w:w="2526" w:type="dxa"/>
            <w:tcBorders>
              <w:top w:val="nil"/>
              <w:left w:val="nil"/>
              <w:bottom w:val="single" w:sz="4" w:space="0" w:color="auto"/>
              <w:right w:val="nil"/>
            </w:tcBorders>
            <w:shd w:val="clear" w:color="auto" w:fill="auto"/>
            <w:vAlign w:val="center"/>
            <w:hideMark/>
          </w:tcPr>
          <w:p w14:paraId="036389CB" w14:textId="2B5B9BAA" w:rsidR="003E4B08" w:rsidRPr="0095391C" w:rsidRDefault="003E4B08" w:rsidP="003E4B08">
            <w:pPr>
              <w:pStyle w:val="BodyText2"/>
              <w:tabs>
                <w:tab w:val="left" w:pos="720"/>
              </w:tabs>
              <w:spacing w:before="0" w:after="0" w:line="240" w:lineRule="auto"/>
              <w:jc w:val="left"/>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Inceptisols</w:t>
            </w:r>
            <w:r w:rsidR="009D6F11" w:rsidRPr="0095391C">
              <w:rPr>
                <w:rFonts w:asciiTheme="minorHAnsi" w:hAnsiTheme="minorHAnsi" w:cstheme="minorHAnsi"/>
                <w:sz w:val="22"/>
                <w:szCs w:val="22"/>
                <w:lang w:eastAsia="ja-JP"/>
              </w:rPr>
              <w:t xml:space="preserve"> + 40 t ha</w:t>
            </w:r>
            <w:r w:rsidR="009D6F11" w:rsidRPr="0095391C">
              <w:rPr>
                <w:rFonts w:asciiTheme="minorHAnsi" w:hAnsiTheme="minorHAnsi" w:cstheme="minorHAnsi"/>
                <w:sz w:val="22"/>
                <w:szCs w:val="22"/>
                <w:vertAlign w:val="superscript"/>
                <w:lang w:eastAsia="ja-JP"/>
              </w:rPr>
              <w:t>-1</w:t>
            </w:r>
            <w:r w:rsidR="009D6F11" w:rsidRPr="0095391C">
              <w:rPr>
                <w:rFonts w:asciiTheme="minorHAnsi" w:hAnsiTheme="minorHAnsi" w:cstheme="minorHAnsi"/>
                <w:sz w:val="22"/>
                <w:szCs w:val="22"/>
                <w:lang w:eastAsia="ja-JP"/>
              </w:rPr>
              <w:t xml:space="preserve"> RH</w:t>
            </w:r>
            <w:r w:rsidR="009D6F11" w:rsidRPr="0095391C">
              <w:rPr>
                <w:rFonts w:asciiTheme="minorHAnsi" w:hAnsiTheme="minorHAnsi" w:cstheme="minorHAnsi"/>
                <w:sz w:val="22"/>
                <w:szCs w:val="22"/>
                <w:vertAlign w:val="subscript"/>
                <w:lang w:eastAsia="ja-JP"/>
              </w:rPr>
              <w:t>B</w:t>
            </w:r>
          </w:p>
        </w:tc>
        <w:tc>
          <w:tcPr>
            <w:tcW w:w="850" w:type="dxa"/>
            <w:vMerge/>
            <w:tcBorders>
              <w:top w:val="nil"/>
              <w:left w:val="nil"/>
              <w:bottom w:val="single" w:sz="4" w:space="0" w:color="auto"/>
              <w:right w:val="nil"/>
            </w:tcBorders>
            <w:shd w:val="clear" w:color="auto" w:fill="auto"/>
            <w:vAlign w:val="center"/>
            <w:hideMark/>
          </w:tcPr>
          <w:p w14:paraId="1CA9DBC2" w14:textId="77777777" w:rsidR="003E4B08" w:rsidRPr="0095391C" w:rsidRDefault="003E4B08" w:rsidP="003E4B08">
            <w:pPr>
              <w:spacing w:before="0" w:line="240" w:lineRule="auto"/>
              <w:jc w:val="left"/>
              <w:rPr>
                <w:rFonts w:asciiTheme="minorHAnsi" w:hAnsiTheme="minorHAnsi" w:cstheme="minorHAnsi"/>
                <w:bCs/>
                <w:lang w:eastAsia="ja-JP"/>
              </w:rPr>
            </w:pPr>
          </w:p>
        </w:tc>
        <w:tc>
          <w:tcPr>
            <w:tcW w:w="851" w:type="dxa"/>
            <w:tcBorders>
              <w:top w:val="nil"/>
              <w:left w:val="nil"/>
              <w:bottom w:val="single" w:sz="4" w:space="0" w:color="auto"/>
              <w:right w:val="nil"/>
            </w:tcBorders>
            <w:shd w:val="clear" w:color="auto" w:fill="auto"/>
            <w:vAlign w:val="center"/>
            <w:hideMark/>
          </w:tcPr>
          <w:p w14:paraId="3B605EFE"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5.67</w:t>
            </w:r>
          </w:p>
        </w:tc>
        <w:tc>
          <w:tcPr>
            <w:tcW w:w="850" w:type="dxa"/>
            <w:tcBorders>
              <w:top w:val="nil"/>
              <w:left w:val="nil"/>
              <w:bottom w:val="single" w:sz="4" w:space="0" w:color="auto"/>
              <w:right w:val="nil"/>
            </w:tcBorders>
            <w:shd w:val="clear" w:color="auto" w:fill="auto"/>
            <w:vAlign w:val="center"/>
            <w:hideMark/>
          </w:tcPr>
          <w:p w14:paraId="7B2914FB"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sz w:val="22"/>
                <w:szCs w:val="22"/>
                <w:lang w:eastAsia="ja-JP"/>
              </w:rPr>
              <w:t>0.11</w:t>
            </w:r>
          </w:p>
        </w:tc>
        <w:tc>
          <w:tcPr>
            <w:tcW w:w="1267" w:type="dxa"/>
            <w:tcBorders>
              <w:top w:val="nil"/>
              <w:left w:val="nil"/>
              <w:bottom w:val="single" w:sz="4" w:space="0" w:color="auto"/>
              <w:right w:val="nil"/>
            </w:tcBorders>
            <w:shd w:val="clear" w:color="auto" w:fill="auto"/>
            <w:vAlign w:val="center"/>
            <w:hideMark/>
          </w:tcPr>
          <w:p w14:paraId="7216D1CC" w14:textId="77777777" w:rsidR="003E4B08" w:rsidRPr="0095391C" w:rsidRDefault="003E4B08" w:rsidP="003E4B08">
            <w:pPr>
              <w:tabs>
                <w:tab w:val="left" w:pos="993"/>
              </w:tabs>
              <w:spacing w:before="0" w:line="240" w:lineRule="auto"/>
              <w:jc w:val="center"/>
              <w:rPr>
                <w:rFonts w:asciiTheme="minorHAnsi" w:hAnsiTheme="minorHAnsi" w:cstheme="minorHAnsi"/>
                <w:bCs/>
                <w:color w:val="000000"/>
                <w:lang w:eastAsia="ja-JP"/>
              </w:rPr>
            </w:pPr>
            <w:r w:rsidRPr="0095391C">
              <w:rPr>
                <w:rFonts w:asciiTheme="minorHAnsi" w:hAnsiTheme="minorHAnsi" w:cstheme="minorHAnsi"/>
                <w:color w:val="000000"/>
                <w:lang w:eastAsia="ja-JP"/>
              </w:rPr>
              <w:t>76.27</w:t>
            </w:r>
          </w:p>
        </w:tc>
        <w:tc>
          <w:tcPr>
            <w:tcW w:w="992" w:type="dxa"/>
            <w:tcBorders>
              <w:top w:val="nil"/>
              <w:left w:val="nil"/>
              <w:bottom w:val="single" w:sz="4" w:space="0" w:color="auto"/>
              <w:right w:val="nil"/>
            </w:tcBorders>
            <w:shd w:val="clear" w:color="auto" w:fill="auto"/>
            <w:vAlign w:val="center"/>
            <w:hideMark/>
          </w:tcPr>
          <w:p w14:paraId="707B7F9C"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color w:val="000000"/>
                <w:sz w:val="22"/>
                <w:szCs w:val="22"/>
                <w:lang w:eastAsia="ja-JP"/>
              </w:rPr>
              <w:t>63.40</w:t>
            </w:r>
          </w:p>
        </w:tc>
        <w:tc>
          <w:tcPr>
            <w:tcW w:w="832" w:type="dxa"/>
            <w:tcBorders>
              <w:top w:val="nil"/>
              <w:left w:val="nil"/>
              <w:bottom w:val="single" w:sz="4" w:space="0" w:color="auto"/>
              <w:right w:val="nil"/>
            </w:tcBorders>
            <w:shd w:val="clear" w:color="auto" w:fill="auto"/>
            <w:vAlign w:val="center"/>
            <w:hideMark/>
          </w:tcPr>
          <w:p w14:paraId="4CDB714B"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color w:val="000000"/>
                <w:sz w:val="22"/>
                <w:szCs w:val="22"/>
                <w:lang w:eastAsia="ja-JP"/>
              </w:rPr>
              <w:t>36.60</w:t>
            </w:r>
          </w:p>
        </w:tc>
        <w:tc>
          <w:tcPr>
            <w:tcW w:w="992" w:type="dxa"/>
            <w:tcBorders>
              <w:top w:val="nil"/>
              <w:left w:val="nil"/>
              <w:bottom w:val="single" w:sz="4" w:space="0" w:color="auto"/>
              <w:right w:val="nil"/>
            </w:tcBorders>
            <w:shd w:val="clear" w:color="auto" w:fill="auto"/>
            <w:vAlign w:val="center"/>
            <w:hideMark/>
          </w:tcPr>
          <w:p w14:paraId="19961A32" w14:textId="77777777" w:rsidR="003E4B08" w:rsidRPr="0095391C" w:rsidRDefault="003E4B08" w:rsidP="003E4B08">
            <w:pPr>
              <w:pStyle w:val="BodyText2"/>
              <w:tabs>
                <w:tab w:val="left" w:pos="720"/>
              </w:tabs>
              <w:spacing w:before="0" w:after="0" w:line="240" w:lineRule="auto"/>
              <w:rPr>
                <w:rFonts w:asciiTheme="minorHAnsi" w:hAnsiTheme="minorHAnsi" w:cstheme="minorHAnsi"/>
                <w:bCs/>
                <w:sz w:val="22"/>
                <w:szCs w:val="22"/>
                <w:lang w:eastAsia="ja-JP"/>
              </w:rPr>
            </w:pPr>
            <w:r w:rsidRPr="0095391C">
              <w:rPr>
                <w:rFonts w:asciiTheme="minorHAnsi" w:hAnsiTheme="minorHAnsi" w:cstheme="minorHAnsi"/>
                <w:color w:val="000000"/>
                <w:sz w:val="22"/>
                <w:szCs w:val="22"/>
                <w:lang w:eastAsia="ja-JP"/>
              </w:rPr>
              <w:t>21.23</w:t>
            </w:r>
          </w:p>
        </w:tc>
      </w:tr>
    </w:tbl>
    <w:p w14:paraId="79895A01" w14:textId="27D607A4" w:rsidR="00AC0E01" w:rsidRPr="0095391C" w:rsidRDefault="00AC0E01" w:rsidP="00AC0E01">
      <w:pPr>
        <w:spacing w:before="0" w:line="240" w:lineRule="auto"/>
        <w:ind w:left="851" w:right="-29" w:hanging="851"/>
        <w:rPr>
          <w:bCs/>
        </w:rPr>
      </w:pPr>
      <w:r w:rsidRPr="0095391C">
        <w:t xml:space="preserve">Remarks: </w:t>
      </w:r>
      <w:r w:rsidRPr="0095391C">
        <w:rPr>
          <w:vertAlign w:val="superscript"/>
        </w:rPr>
        <w:t>a</w:t>
      </w:r>
      <w:r w:rsidRPr="0095391C">
        <w:t xml:space="preserve">C Organic = %SOM * 0.58; </w:t>
      </w:r>
      <w:r w:rsidRPr="0095391C">
        <w:rPr>
          <w:vertAlign w:val="superscript"/>
        </w:rPr>
        <w:t>b</w:t>
      </w:r>
      <w:r w:rsidRPr="0095391C">
        <w:t>ΔpH = pH</w:t>
      </w:r>
      <w:r w:rsidRPr="0095391C">
        <w:rPr>
          <w:vertAlign w:val="subscript"/>
        </w:rPr>
        <w:t>a</w:t>
      </w:r>
      <w:r w:rsidRPr="0095391C">
        <w:t xml:space="preserve"> – pH</w:t>
      </w:r>
      <w:r w:rsidRPr="0095391C">
        <w:rPr>
          <w:vertAlign w:val="subscript"/>
        </w:rPr>
        <w:t>0</w:t>
      </w:r>
      <w:r w:rsidRPr="0095391C">
        <w:t>;  EC</w:t>
      </w:r>
      <w:r w:rsidR="003E4B08" w:rsidRPr="0095391C">
        <w:rPr>
          <w:lang w:val="en-US"/>
        </w:rPr>
        <w:t xml:space="preserve"> </w:t>
      </w:r>
      <w:r w:rsidRPr="0095391C">
        <w:t>= Electrical conductivity; CEC = Cation exchange capacity; SOM = Soil organic matter.</w:t>
      </w:r>
    </w:p>
    <w:p w14:paraId="2065E649" w14:textId="6D16316E" w:rsidR="00AC0E01" w:rsidRPr="0095391C" w:rsidRDefault="00AC0E01" w:rsidP="00AC0E01">
      <w:pPr>
        <w:pStyle w:val="BodyText2"/>
        <w:tabs>
          <w:tab w:val="left" w:pos="720"/>
        </w:tabs>
        <w:spacing w:before="0" w:after="0" w:line="276" w:lineRule="auto"/>
        <w:jc w:val="both"/>
        <w:rPr>
          <w:rFonts w:asciiTheme="minorHAnsi" w:hAnsiTheme="minorHAnsi" w:cstheme="minorHAnsi"/>
          <w:sz w:val="22"/>
          <w:szCs w:val="22"/>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D64343" w:rsidRPr="0095391C" w14:paraId="4BA0FBD6" w14:textId="77777777" w:rsidTr="00D64343">
        <w:tc>
          <w:tcPr>
            <w:tcW w:w="4621" w:type="dxa"/>
          </w:tcPr>
          <w:p w14:paraId="44827FB5" w14:textId="1AC53F57" w:rsidR="00D64343" w:rsidRPr="0095391C" w:rsidRDefault="00D64343" w:rsidP="00D64343">
            <w:pPr>
              <w:rPr>
                <w:lang w:val="en-US" w:eastAsia="ja-JP"/>
              </w:rPr>
            </w:pPr>
            <w:r w:rsidRPr="0095391C">
              <w:rPr>
                <w:noProof/>
                <w:lang w:val="en-US"/>
              </w:rPr>
              <mc:AlternateContent>
                <mc:Choice Requires="wps">
                  <w:drawing>
                    <wp:anchor distT="0" distB="0" distL="114300" distR="114300" simplePos="0" relativeHeight="251668480" behindDoc="0" locked="0" layoutInCell="1" allowOverlap="1" wp14:anchorId="44AE28BE" wp14:editId="0DED24AF">
                      <wp:simplePos x="0" y="0"/>
                      <wp:positionH relativeFrom="column">
                        <wp:posOffset>2056765</wp:posOffset>
                      </wp:positionH>
                      <wp:positionV relativeFrom="paragraph">
                        <wp:posOffset>243205</wp:posOffset>
                      </wp:positionV>
                      <wp:extent cx="323850" cy="234315"/>
                      <wp:effectExtent l="0" t="0" r="0" b="571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34315"/>
                              </a:xfrm>
                              <a:prstGeom prst="rect">
                                <a:avLst/>
                              </a:prstGeom>
                              <a:noFill/>
                              <a:ln w="9525">
                                <a:noFill/>
                                <a:miter lim="800000"/>
                                <a:headEnd/>
                                <a:tailEnd/>
                              </a:ln>
                            </wps:spPr>
                            <wps:txbx>
                              <w:txbxContent>
                                <w:p w14:paraId="442E5682" w14:textId="77777777" w:rsidR="00C54385" w:rsidRPr="00D64343" w:rsidRDefault="00C54385" w:rsidP="00D64343">
                                  <w:pPr>
                                    <w:jc w:val="center"/>
                                    <w:rPr>
                                      <w:b/>
                                    </w:rPr>
                                  </w:pPr>
                                  <w:r w:rsidRPr="00D64343">
                                    <w:rPr>
                                      <w:b/>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AE28BE" id="Text Box 296" o:spid="_x0000_s1033" type="#_x0000_t202" style="position:absolute;left:0;text-align:left;margin-left:161.95pt;margin-top:19.15pt;width:25.5pt;height:18.4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" filled="f" stroked="f">
                      <v:textbox style="mso-fit-shape-to-text:t">
                        <w:txbxContent>
                          <w:p w14:paraId="442E5682" w14:textId="77777777" w:rsidR="00C54385" w:rsidRPr="00D64343" w:rsidRDefault="00C54385" w:rsidP="00D64343">
                            <w:pPr>
                              <w:jc w:val="center"/>
                              <w:rPr>
                                <w:b/>
                              </w:rPr>
                            </w:pPr>
                            <w:r w:rsidRPr="00D64343">
                              <w:rPr>
                                <w:b/>
                              </w:rPr>
                              <w:t>A</w:t>
                            </w:r>
                          </w:p>
                        </w:txbxContent>
                      </v:textbox>
                    </v:shape>
                  </w:pict>
                </mc:Fallback>
              </mc:AlternateContent>
            </w:r>
            <w:r w:rsidRPr="0095391C">
              <w:rPr>
                <w:noProof/>
                <w:lang w:val="en-US"/>
              </w:rPr>
              <w:drawing>
                <wp:inline distT="0" distB="0" distL="0" distR="0" wp14:anchorId="5B7912CE" wp14:editId="7D15FC63">
                  <wp:extent cx="2609850" cy="2143125"/>
                  <wp:effectExtent l="0" t="0" r="0" b="0"/>
                  <wp:docPr id="294" name="Chart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621" w:type="dxa"/>
          </w:tcPr>
          <w:p w14:paraId="5D6A21D6" w14:textId="72C36899" w:rsidR="00D64343" w:rsidRPr="0095391C" w:rsidRDefault="00D64343" w:rsidP="00D64343">
            <w:pPr>
              <w:rPr>
                <w:lang w:val="en-US" w:eastAsia="ja-JP"/>
              </w:rPr>
            </w:pPr>
            <w:r w:rsidRPr="0095391C">
              <w:rPr>
                <w:noProof/>
                <w:lang w:val="en-US"/>
              </w:rPr>
              <mc:AlternateContent>
                <mc:Choice Requires="wps">
                  <w:drawing>
                    <wp:anchor distT="0" distB="0" distL="114300" distR="114300" simplePos="0" relativeHeight="251669504" behindDoc="0" locked="0" layoutInCell="1" allowOverlap="1" wp14:anchorId="685DE56D" wp14:editId="0148EE0A">
                      <wp:simplePos x="0" y="0"/>
                      <wp:positionH relativeFrom="column">
                        <wp:posOffset>2067560</wp:posOffset>
                      </wp:positionH>
                      <wp:positionV relativeFrom="paragraph">
                        <wp:posOffset>237490</wp:posOffset>
                      </wp:positionV>
                      <wp:extent cx="323850" cy="234315"/>
                      <wp:effectExtent l="0" t="0" r="0" b="5715"/>
                      <wp:wrapNone/>
                      <wp:docPr id="297"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34315"/>
                              </a:xfrm>
                              <a:prstGeom prst="rect">
                                <a:avLst/>
                              </a:prstGeom>
                              <a:noFill/>
                              <a:ln w="9525">
                                <a:noFill/>
                                <a:miter lim="800000"/>
                                <a:headEnd/>
                                <a:tailEnd/>
                              </a:ln>
                            </wps:spPr>
                            <wps:txbx>
                              <w:txbxContent>
                                <w:p w14:paraId="28859948" w14:textId="77777777" w:rsidR="00C54385" w:rsidRPr="00D64343" w:rsidRDefault="00C54385" w:rsidP="00D64343">
                                  <w:pPr>
                                    <w:jc w:val="center"/>
                                    <w:rPr>
                                      <w:b/>
                                    </w:rPr>
                                  </w:pPr>
                                  <w:r w:rsidRPr="00D64343">
                                    <w:rPr>
                                      <w:b/>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5DE56D" id="Text Box 297" o:spid="_x0000_s1034" type="#_x0000_t202" style="position:absolute;left:0;text-align:left;margin-left:162.8pt;margin-top:18.7pt;width:25.5pt;height:18.4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" filled="f" stroked="f">
                      <v:textbox style="mso-fit-shape-to-text:t">
                        <w:txbxContent>
                          <w:p w14:paraId="28859948" w14:textId="77777777" w:rsidR="00C54385" w:rsidRPr="00D64343" w:rsidRDefault="00C54385" w:rsidP="00D64343">
                            <w:pPr>
                              <w:jc w:val="center"/>
                              <w:rPr>
                                <w:b/>
                              </w:rPr>
                            </w:pPr>
                            <w:r w:rsidRPr="00D64343">
                              <w:rPr>
                                <w:b/>
                              </w:rPr>
                              <w:t>B</w:t>
                            </w:r>
                          </w:p>
                        </w:txbxContent>
                      </v:textbox>
                    </v:shape>
                  </w:pict>
                </mc:Fallback>
              </mc:AlternateContent>
            </w:r>
            <w:r w:rsidRPr="0095391C">
              <w:rPr>
                <w:noProof/>
                <w:lang w:val="en-US"/>
              </w:rPr>
              <w:drawing>
                <wp:inline distT="0" distB="0" distL="0" distR="0" wp14:anchorId="6023129A" wp14:editId="4A4D1CF0">
                  <wp:extent cx="2609850" cy="2143125"/>
                  <wp:effectExtent l="0" t="0" r="0" b="0"/>
                  <wp:docPr id="293" name="Chart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14:paraId="289A4C87" w14:textId="61D87B08" w:rsidR="00D64343" w:rsidRPr="0095391C" w:rsidRDefault="00D64343" w:rsidP="00D64343">
      <w:pPr>
        <w:spacing w:before="0" w:line="240" w:lineRule="auto"/>
        <w:rPr>
          <w:noProof/>
          <w:lang w:val="en-US"/>
        </w:rPr>
      </w:pPr>
      <w:r w:rsidRPr="0095391C">
        <w:t>Fig</w:t>
      </w:r>
      <w:r w:rsidRPr="0095391C">
        <w:rPr>
          <w:lang w:val="en-US"/>
        </w:rPr>
        <w:t>ure</w:t>
      </w:r>
      <w:r w:rsidRPr="0095391C">
        <w:t xml:space="preserve"> </w:t>
      </w:r>
      <w:r w:rsidRPr="0095391C">
        <w:rPr>
          <w:lang w:val="en-US"/>
        </w:rPr>
        <w:t>4.</w:t>
      </w:r>
      <w:r w:rsidRPr="0095391C">
        <w:t xml:space="preserve">  Point of Zero Charge (PZC) of Inceptisols (A) and rice husk biochar amended Inceptisols (B).</w:t>
      </w:r>
      <w:r w:rsidRPr="0095391C">
        <w:rPr>
          <w:noProof/>
        </w:rPr>
        <w:t xml:space="preserve"> </w:t>
      </w:r>
    </w:p>
    <w:p w14:paraId="5D57D1C3" w14:textId="77777777" w:rsidR="00F5425F" w:rsidRPr="0095391C" w:rsidRDefault="00F5425F" w:rsidP="006D28B0">
      <w:pPr>
        <w:pStyle w:val="BodyText2"/>
        <w:tabs>
          <w:tab w:val="left" w:pos="720"/>
        </w:tabs>
        <w:spacing w:before="0" w:after="0" w:line="276" w:lineRule="auto"/>
        <w:jc w:val="both"/>
        <w:rPr>
          <w:rFonts w:asciiTheme="minorHAnsi" w:hAnsiTheme="minorHAnsi" w:cstheme="minorHAnsi"/>
          <w:sz w:val="22"/>
          <w:szCs w:val="22"/>
          <w:lang w:eastAsia="ja-JP"/>
        </w:rPr>
      </w:pPr>
    </w:p>
    <w:p w14:paraId="6C5C1DFC" w14:textId="77777777" w:rsidR="006D28B0" w:rsidRPr="0095391C" w:rsidRDefault="006D28B0" w:rsidP="006D28B0">
      <w:pPr>
        <w:pStyle w:val="BodyText2"/>
        <w:tabs>
          <w:tab w:val="left" w:pos="720"/>
        </w:tabs>
        <w:spacing w:before="0" w:after="0" w:line="276" w:lineRule="auto"/>
        <w:jc w:val="both"/>
        <w:rPr>
          <w:rFonts w:asciiTheme="minorHAnsi" w:hAnsiTheme="minorHAnsi" w:cstheme="minorHAnsi"/>
          <w:sz w:val="22"/>
          <w:szCs w:val="22"/>
          <w:lang w:eastAsia="ja-JP"/>
        </w:rPr>
      </w:pPr>
      <w:r w:rsidRPr="0095391C">
        <w:rPr>
          <w:rFonts w:asciiTheme="minorHAnsi" w:hAnsiTheme="minorHAnsi" w:cstheme="minorHAnsi"/>
          <w:sz w:val="22"/>
          <w:szCs w:val="22"/>
          <w:lang w:eastAsia="ja-JP"/>
        </w:rPr>
        <w:t>The pH</w:t>
      </w:r>
      <w:r w:rsidRPr="0095391C">
        <w:rPr>
          <w:rFonts w:asciiTheme="minorHAnsi" w:hAnsiTheme="minorHAnsi" w:cstheme="minorHAnsi"/>
          <w:sz w:val="22"/>
          <w:szCs w:val="22"/>
          <w:vertAlign w:val="subscript"/>
          <w:lang w:eastAsia="ja-JP"/>
        </w:rPr>
        <w:t>PZC</w:t>
      </w:r>
      <w:r w:rsidRPr="0095391C">
        <w:rPr>
          <w:rFonts w:asciiTheme="minorHAnsi" w:hAnsiTheme="minorHAnsi" w:cstheme="minorHAnsi"/>
          <w:sz w:val="22"/>
          <w:szCs w:val="22"/>
          <w:lang w:eastAsia="ja-JP"/>
        </w:rPr>
        <w:t xml:space="preserve"> values ​​for all adsorbents in the adsorption process are presented in Figure 4. The pH</w:t>
      </w:r>
      <w:r w:rsidRPr="0095391C">
        <w:rPr>
          <w:rFonts w:asciiTheme="minorHAnsi" w:hAnsiTheme="minorHAnsi" w:cstheme="minorHAnsi"/>
          <w:sz w:val="22"/>
          <w:szCs w:val="22"/>
          <w:vertAlign w:val="subscript"/>
          <w:lang w:eastAsia="ja-JP"/>
        </w:rPr>
        <w:t>PZC</w:t>
      </w:r>
      <w:r w:rsidRPr="0095391C">
        <w:rPr>
          <w:rFonts w:asciiTheme="minorHAnsi" w:hAnsiTheme="minorHAnsi" w:cstheme="minorHAnsi"/>
          <w:sz w:val="22"/>
          <w:szCs w:val="22"/>
          <w:lang w:eastAsia="ja-JP"/>
        </w:rPr>
        <w:t xml:space="preserve"> Inceptisol and Inceptisol which are ameliorated with RH</w:t>
      </w:r>
      <w:r w:rsidRPr="0095391C">
        <w:rPr>
          <w:rFonts w:asciiTheme="minorHAnsi" w:hAnsiTheme="minorHAnsi" w:cstheme="minorHAnsi"/>
          <w:sz w:val="22"/>
          <w:szCs w:val="22"/>
          <w:vertAlign w:val="subscript"/>
          <w:lang w:eastAsia="ja-JP"/>
        </w:rPr>
        <w:t>B</w:t>
      </w:r>
      <w:r w:rsidRPr="0095391C">
        <w:rPr>
          <w:rFonts w:asciiTheme="minorHAnsi" w:hAnsiTheme="minorHAnsi" w:cstheme="minorHAnsi"/>
          <w:sz w:val="22"/>
          <w:szCs w:val="22"/>
          <w:lang w:eastAsia="ja-JP"/>
        </w:rPr>
        <w:t xml:space="preserve"> 40 t ha</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 xml:space="preserve"> with a value of 4.30 units (y = 0.2001x - 0.8605; R² = 0.767) and 4.78 units (y = 0.4035x - 1.9305; R² = 0.9625). It can be seen that the pH</w:t>
      </w:r>
      <w:r w:rsidRPr="0095391C">
        <w:rPr>
          <w:rFonts w:asciiTheme="minorHAnsi" w:hAnsiTheme="minorHAnsi" w:cstheme="minorHAnsi"/>
          <w:sz w:val="22"/>
          <w:szCs w:val="22"/>
          <w:vertAlign w:val="subscript"/>
          <w:lang w:eastAsia="ja-JP"/>
        </w:rPr>
        <w:t>PZC</w:t>
      </w:r>
      <w:r w:rsidRPr="0095391C">
        <w:rPr>
          <w:rFonts w:asciiTheme="minorHAnsi" w:hAnsiTheme="minorHAnsi" w:cstheme="minorHAnsi"/>
          <w:sz w:val="22"/>
          <w:szCs w:val="22"/>
          <w:lang w:eastAsia="ja-JP"/>
        </w:rPr>
        <w:t xml:space="preserve"> increased by 0.48 units with the addition of RH</w:t>
      </w:r>
      <w:r w:rsidRPr="0095391C">
        <w:rPr>
          <w:rFonts w:asciiTheme="minorHAnsi" w:hAnsiTheme="minorHAnsi" w:cstheme="minorHAnsi"/>
          <w:sz w:val="22"/>
          <w:szCs w:val="22"/>
          <w:vertAlign w:val="subscript"/>
          <w:lang w:eastAsia="ja-JP"/>
        </w:rPr>
        <w:t xml:space="preserve">B </w:t>
      </w:r>
      <w:r w:rsidRPr="0095391C">
        <w:rPr>
          <w:rFonts w:asciiTheme="minorHAnsi" w:hAnsiTheme="minorHAnsi" w:cstheme="minorHAnsi"/>
          <w:sz w:val="22"/>
          <w:szCs w:val="22"/>
          <w:lang w:eastAsia="ja-JP"/>
        </w:rPr>
        <w:t>of 40 t ha</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 xml:space="preserve"> (RH</w:t>
      </w:r>
      <w:r w:rsidRPr="0095391C">
        <w:rPr>
          <w:rFonts w:asciiTheme="minorHAnsi" w:hAnsiTheme="minorHAnsi" w:cstheme="minorHAnsi"/>
          <w:sz w:val="22"/>
          <w:szCs w:val="22"/>
          <w:vertAlign w:val="subscript"/>
          <w:lang w:eastAsia="ja-JP"/>
        </w:rPr>
        <w:t>B</w:t>
      </w:r>
      <w:r w:rsidRPr="0095391C">
        <w:rPr>
          <w:rFonts w:asciiTheme="minorHAnsi" w:hAnsiTheme="minorHAnsi" w:cstheme="minorHAnsi"/>
          <w:sz w:val="22"/>
          <w:szCs w:val="22"/>
          <w:lang w:eastAsia="ja-JP"/>
        </w:rPr>
        <w:t>/Ept) which indicates that the surface charge on both of them is negatively charged with a charge length formed of 0.67 units and 0.82 units, respectively, where the ΔpH = RH</w:t>
      </w:r>
      <w:r w:rsidRPr="0095391C">
        <w:rPr>
          <w:rFonts w:asciiTheme="minorHAnsi" w:hAnsiTheme="minorHAnsi" w:cstheme="minorHAnsi"/>
          <w:sz w:val="22"/>
          <w:szCs w:val="22"/>
          <w:vertAlign w:val="subscript"/>
          <w:lang w:eastAsia="ja-JP"/>
        </w:rPr>
        <w:t>B</w:t>
      </w:r>
      <w:r w:rsidRPr="0095391C">
        <w:rPr>
          <w:rFonts w:asciiTheme="minorHAnsi" w:hAnsiTheme="minorHAnsi" w:cstheme="minorHAnsi"/>
          <w:sz w:val="22"/>
          <w:szCs w:val="22"/>
          <w:lang w:eastAsia="ja-JP"/>
        </w:rPr>
        <w:t>/Ept &gt; Ept. Thus, it can be assumed that the glyphosate adsorption process will be optimal at pH</w:t>
      </w:r>
      <w:r w:rsidRPr="0095391C">
        <w:rPr>
          <w:rFonts w:asciiTheme="minorHAnsi" w:hAnsiTheme="minorHAnsi" w:cstheme="minorHAnsi"/>
          <w:sz w:val="22"/>
          <w:szCs w:val="22"/>
          <w:vertAlign w:val="subscript"/>
          <w:lang w:eastAsia="ja-JP"/>
        </w:rPr>
        <w:t>0</w:t>
      </w:r>
      <w:r w:rsidRPr="0095391C">
        <w:rPr>
          <w:rFonts w:asciiTheme="minorHAnsi" w:hAnsiTheme="minorHAnsi" w:cstheme="minorHAnsi"/>
          <w:sz w:val="22"/>
          <w:szCs w:val="22"/>
          <w:lang w:eastAsia="ja-JP"/>
        </w:rPr>
        <w:t xml:space="preserve"> = 4.30 (Ept) &lt; 4.78 (RHB/Ept) (Fig. 4).</w:t>
      </w:r>
    </w:p>
    <w:p w14:paraId="750065D1" w14:textId="77777777" w:rsidR="00B93D7D" w:rsidRPr="0095391C" w:rsidRDefault="00B93D7D" w:rsidP="00D64343">
      <w:pPr>
        <w:spacing w:before="0" w:line="240" w:lineRule="auto"/>
        <w:rPr>
          <w:noProof/>
          <w:lang w:val="en-US"/>
        </w:rPr>
      </w:pPr>
    </w:p>
    <w:p w14:paraId="5F04E047" w14:textId="4A14C1E7" w:rsidR="009D6F11" w:rsidRPr="0095391C" w:rsidRDefault="00C54385" w:rsidP="009D6F11">
      <w:pPr>
        <w:pStyle w:val="Heading3"/>
        <w:keepNext w:val="0"/>
        <w:widowControl w:val="0"/>
        <w:tabs>
          <w:tab w:val="left" w:pos="720"/>
        </w:tabs>
        <w:spacing w:before="0" w:line="276" w:lineRule="auto"/>
        <w:rPr>
          <w:rFonts w:asciiTheme="minorHAnsi" w:eastAsia="MS Mincho" w:hAnsiTheme="minorHAnsi" w:cstheme="minorHAnsi"/>
          <w:color w:val="000000" w:themeColor="text1"/>
        </w:rPr>
      </w:pPr>
      <w:r w:rsidRPr="0095391C">
        <w:rPr>
          <w:rFonts w:asciiTheme="minorHAnsi" w:eastAsia="MS Mincho" w:hAnsiTheme="minorHAnsi" w:cstheme="minorHAnsi"/>
          <w:color w:val="000000" w:themeColor="text1"/>
          <w:lang w:eastAsia="ja-JP"/>
        </w:rPr>
        <w:t>4.</w:t>
      </w:r>
      <w:r w:rsidRPr="0095391C">
        <w:rPr>
          <w:rFonts w:asciiTheme="minorHAnsi" w:eastAsia="MS Mincho" w:hAnsiTheme="minorHAnsi" w:cstheme="minorHAnsi"/>
          <w:color w:val="000000" w:themeColor="text1"/>
          <w:lang w:val="en-US" w:eastAsia="ja-JP"/>
        </w:rPr>
        <w:t>3</w:t>
      </w:r>
      <w:r w:rsidR="009D6F11" w:rsidRPr="0095391C">
        <w:rPr>
          <w:rFonts w:asciiTheme="minorHAnsi" w:eastAsia="MS Mincho" w:hAnsiTheme="minorHAnsi" w:cstheme="minorHAnsi"/>
          <w:color w:val="000000" w:themeColor="text1"/>
          <w:lang w:eastAsia="ja-JP"/>
        </w:rPr>
        <w:t xml:space="preserve"> Glyphosate </w:t>
      </w:r>
      <w:r w:rsidR="009D6F11" w:rsidRPr="0095391C">
        <w:rPr>
          <w:rFonts w:asciiTheme="minorHAnsi" w:eastAsia="MS Mincho" w:hAnsiTheme="minorHAnsi" w:cstheme="minorHAnsi"/>
          <w:color w:val="000000" w:themeColor="text1"/>
        </w:rPr>
        <w:t>Adsorption Behaviour</w:t>
      </w:r>
    </w:p>
    <w:p w14:paraId="591CF815" w14:textId="66725145" w:rsidR="009D6F11" w:rsidRPr="0095391C" w:rsidRDefault="009D6F11" w:rsidP="009D6F11">
      <w:pPr>
        <w:tabs>
          <w:tab w:val="left" w:pos="284"/>
        </w:tabs>
        <w:spacing w:before="0" w:line="276" w:lineRule="auto"/>
        <w:rPr>
          <w:lang w:val="en-US"/>
        </w:rPr>
      </w:pPr>
      <w:r w:rsidRPr="0095391C">
        <w:t xml:space="preserve">The equilibrium concentration of glyphosate increased with increasing concentration glyphosate, but </w:t>
      </w:r>
      <w:r w:rsidR="00B93D7D" w:rsidRPr="0095391C">
        <w:t xml:space="preserve">the pH solution decreased (Fig </w:t>
      </w:r>
      <w:r w:rsidR="00B93D7D" w:rsidRPr="0095391C">
        <w:rPr>
          <w:lang w:val="en-US"/>
        </w:rPr>
        <w:t>5</w:t>
      </w:r>
      <w:r w:rsidRPr="0095391C">
        <w:t>).  The highest concentration of glyphosate for Ent and RH</w:t>
      </w:r>
      <w:r w:rsidRPr="0095391C">
        <w:rPr>
          <w:vertAlign w:val="subscript"/>
        </w:rPr>
        <w:t>B</w:t>
      </w:r>
      <w:r w:rsidR="00B93D7D" w:rsidRPr="0095391C">
        <w:t>/E</w:t>
      </w:r>
      <w:r w:rsidR="00B93D7D" w:rsidRPr="0095391C">
        <w:rPr>
          <w:lang w:val="en-US"/>
        </w:rPr>
        <w:t>p</w:t>
      </w:r>
      <w:r w:rsidRPr="0095391C">
        <w:t>t had the same capacity at 100 ppm. The pH of the solution during the adsorption process is important to analyze because it affects the adsorption of glyphosate in CaCl</w:t>
      </w:r>
      <w:r w:rsidRPr="0095391C">
        <w:rPr>
          <w:vertAlign w:val="subscript"/>
        </w:rPr>
        <w:t>2</w:t>
      </w:r>
      <w:r w:rsidRPr="0095391C">
        <w:t xml:space="preserve"> solution. The decrease in pH was influenced by an increase in the concentration of glyphosate with stabi</w:t>
      </w:r>
      <w:r w:rsidR="00B93D7D" w:rsidRPr="0095391C">
        <w:t xml:space="preserve">lity at concentrations of 1 to </w:t>
      </w:r>
      <w:r w:rsidR="00B93D7D" w:rsidRPr="0095391C">
        <w:rPr>
          <w:lang w:val="en-US"/>
        </w:rPr>
        <w:t>5</w:t>
      </w:r>
      <w:r w:rsidRPr="0095391C">
        <w:t>0 ppm in Ent and RH</w:t>
      </w:r>
      <w:r w:rsidRPr="0095391C">
        <w:rPr>
          <w:vertAlign w:val="subscript"/>
        </w:rPr>
        <w:t>B</w:t>
      </w:r>
      <w:r w:rsidR="00B93D7D" w:rsidRPr="0095391C">
        <w:t>/E</w:t>
      </w:r>
      <w:r w:rsidR="00E9167C" w:rsidRPr="0095391C">
        <w:rPr>
          <w:lang w:val="en-US"/>
        </w:rPr>
        <w:t>p</w:t>
      </w:r>
      <w:r w:rsidR="00B93D7D" w:rsidRPr="0095391C">
        <w:t xml:space="preserve">t (Fig. </w:t>
      </w:r>
      <w:r w:rsidR="00B93D7D" w:rsidRPr="0095391C">
        <w:rPr>
          <w:lang w:val="en-US"/>
        </w:rPr>
        <w:t>5A)</w:t>
      </w:r>
      <w:r w:rsidRPr="0095391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7"/>
        <w:gridCol w:w="4469"/>
      </w:tblGrid>
      <w:tr w:rsidR="006D28B0" w:rsidRPr="0095391C" w14:paraId="0175414A" w14:textId="77777777" w:rsidTr="00ED6922">
        <w:tc>
          <w:tcPr>
            <w:tcW w:w="4621" w:type="dxa"/>
          </w:tcPr>
          <w:p w14:paraId="3F7D5ECE" w14:textId="4C07E39C" w:rsidR="006D28B0" w:rsidRPr="0095391C" w:rsidRDefault="006D28B0" w:rsidP="009D6F11">
            <w:pPr>
              <w:tabs>
                <w:tab w:val="left" w:pos="284"/>
              </w:tabs>
              <w:spacing w:before="0" w:line="276" w:lineRule="auto"/>
              <w:rPr>
                <w:lang w:val="en-US"/>
              </w:rPr>
            </w:pPr>
            <w:r w:rsidRPr="0095391C">
              <w:rPr>
                <w:noProof/>
                <w:lang w:val="en-US"/>
              </w:rPr>
              <w:lastRenderedPageBreak/>
              <w:drawing>
                <wp:inline distT="0" distB="0" distL="0" distR="0" wp14:anchorId="65B3ABE4" wp14:editId="38D629F6">
                  <wp:extent cx="2809875" cy="2409825"/>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4621" w:type="dxa"/>
          </w:tcPr>
          <w:p w14:paraId="47AAE08C" w14:textId="43312570" w:rsidR="006D28B0" w:rsidRPr="0095391C" w:rsidRDefault="006D28B0" w:rsidP="009D6F11">
            <w:pPr>
              <w:tabs>
                <w:tab w:val="left" w:pos="284"/>
              </w:tabs>
              <w:spacing w:before="0" w:line="276" w:lineRule="auto"/>
              <w:rPr>
                <w:lang w:val="en-US"/>
              </w:rPr>
            </w:pPr>
            <w:r w:rsidRPr="0095391C">
              <w:rPr>
                <w:noProof/>
                <w:lang w:val="en-US"/>
              </w:rPr>
              <w:drawing>
                <wp:inline distT="0" distB="0" distL="0" distR="0" wp14:anchorId="4F761806" wp14:editId="008482F6">
                  <wp:extent cx="2752725" cy="2409825"/>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6D28B0" w:rsidRPr="0095391C" w14:paraId="6C40C8A9" w14:textId="77777777" w:rsidTr="00ED6922">
        <w:tc>
          <w:tcPr>
            <w:tcW w:w="4621" w:type="dxa"/>
          </w:tcPr>
          <w:p w14:paraId="0A5672FA" w14:textId="079AB8E3" w:rsidR="006D28B0" w:rsidRPr="0095391C" w:rsidRDefault="006D28B0" w:rsidP="006D28B0">
            <w:pPr>
              <w:tabs>
                <w:tab w:val="left" w:pos="284"/>
              </w:tabs>
              <w:spacing w:before="0" w:line="276" w:lineRule="auto"/>
              <w:jc w:val="center"/>
              <w:rPr>
                <w:b/>
                <w:lang w:val="en-US"/>
              </w:rPr>
            </w:pPr>
            <w:r w:rsidRPr="0095391C">
              <w:rPr>
                <w:b/>
                <w:lang w:val="en-US"/>
              </w:rPr>
              <w:t>(A)</w:t>
            </w:r>
          </w:p>
        </w:tc>
        <w:tc>
          <w:tcPr>
            <w:tcW w:w="4621" w:type="dxa"/>
          </w:tcPr>
          <w:p w14:paraId="3185920D" w14:textId="4AEFE4E3" w:rsidR="006D28B0" w:rsidRPr="0095391C" w:rsidRDefault="006D28B0" w:rsidP="006D28B0">
            <w:pPr>
              <w:tabs>
                <w:tab w:val="left" w:pos="284"/>
              </w:tabs>
              <w:spacing w:before="0" w:line="276" w:lineRule="auto"/>
              <w:jc w:val="center"/>
              <w:rPr>
                <w:b/>
                <w:lang w:val="en-US"/>
              </w:rPr>
            </w:pPr>
            <w:r w:rsidRPr="0095391C">
              <w:rPr>
                <w:b/>
                <w:lang w:val="en-US"/>
              </w:rPr>
              <w:t>(B)</w:t>
            </w:r>
          </w:p>
        </w:tc>
      </w:tr>
    </w:tbl>
    <w:p w14:paraId="60E19902" w14:textId="7E16AD42" w:rsidR="009D6F11" w:rsidRPr="0095391C" w:rsidRDefault="009D6F11" w:rsidP="009D6F11">
      <w:pPr>
        <w:tabs>
          <w:tab w:val="left" w:pos="284"/>
        </w:tabs>
        <w:spacing w:before="0" w:line="240" w:lineRule="auto"/>
        <w:rPr>
          <w:lang w:val="en-US"/>
        </w:rPr>
      </w:pPr>
      <w:r w:rsidRPr="0095391C">
        <w:rPr>
          <w:rFonts w:eastAsia="MS Mincho"/>
          <w:lang w:val="en-US"/>
        </w:rPr>
        <w:t xml:space="preserve">Figure 5. </w:t>
      </w:r>
      <w:r w:rsidRPr="0095391C">
        <w:rPr>
          <w:lang w:val="en-US"/>
        </w:rPr>
        <w:t xml:space="preserve">(A) </w:t>
      </w:r>
      <w:r w:rsidRPr="0095391C">
        <w:t>Equilibrium concentration glyphosate (C</w:t>
      </w:r>
      <w:r w:rsidRPr="0095391C">
        <w:rPr>
          <w:vertAlign w:val="subscript"/>
        </w:rPr>
        <w:t>e</w:t>
      </w:r>
      <w:r w:rsidRPr="0095391C">
        <w:t>) and pH during the adsorption process on RH</w:t>
      </w:r>
      <w:r w:rsidRPr="0095391C">
        <w:rPr>
          <w:vertAlign w:val="subscript"/>
        </w:rPr>
        <w:t>B</w:t>
      </w:r>
      <w:r w:rsidRPr="0095391C">
        <w:t xml:space="preserve">; Inceptisols and </w:t>
      </w:r>
      <w:r w:rsidR="00C54385" w:rsidRPr="0095391C">
        <w:t xml:space="preserve">rice husk biochar amended Inceptisols </w:t>
      </w:r>
      <w:r w:rsidRPr="0095391C">
        <w:rPr>
          <w:lang w:val="en-US"/>
        </w:rPr>
        <w:t xml:space="preserve">and (B) </w:t>
      </w:r>
      <w:r w:rsidRPr="0095391C">
        <w:t>Glyphosate adsorpstion capacity (Q</w:t>
      </w:r>
      <w:r w:rsidRPr="0095391C">
        <w:rPr>
          <w:vertAlign w:val="subscript"/>
        </w:rPr>
        <w:t>e</w:t>
      </w:r>
      <w:r w:rsidRPr="0095391C">
        <w:t>) and removal effic</w:t>
      </w:r>
      <w:r w:rsidR="00B93D7D" w:rsidRPr="0095391C">
        <w:rPr>
          <w:lang w:val="en-US"/>
        </w:rPr>
        <w:t>tivity</w:t>
      </w:r>
      <w:r w:rsidRPr="0095391C">
        <w:t xml:space="preserve"> (R) of of RH</w:t>
      </w:r>
      <w:r w:rsidRPr="0095391C">
        <w:rPr>
          <w:vertAlign w:val="subscript"/>
        </w:rPr>
        <w:t>B</w:t>
      </w:r>
      <w:r w:rsidRPr="0095391C">
        <w:t>; Inceptisols and RH</w:t>
      </w:r>
      <w:r w:rsidRPr="0095391C">
        <w:rPr>
          <w:vertAlign w:val="subscript"/>
        </w:rPr>
        <w:t>B</w:t>
      </w:r>
      <w:r w:rsidRPr="0095391C">
        <w:t>/Inceptisols, where : C</w:t>
      </w:r>
      <w:r w:rsidRPr="0095391C">
        <w:rPr>
          <w:vertAlign w:val="subscript"/>
        </w:rPr>
        <w:t>0</w:t>
      </w:r>
      <w:r w:rsidRPr="0095391C">
        <w:t xml:space="preserve"> = 1–100 mg L</w:t>
      </w:r>
      <w:r w:rsidRPr="0095391C">
        <w:rPr>
          <w:vertAlign w:val="superscript"/>
        </w:rPr>
        <w:t>-1</w:t>
      </w:r>
      <w:r w:rsidRPr="0095391C">
        <w:t>; HR</w:t>
      </w:r>
      <w:r w:rsidRPr="0095391C">
        <w:rPr>
          <w:vertAlign w:val="subscript"/>
        </w:rPr>
        <w:t>B</w:t>
      </w:r>
      <w:r w:rsidRPr="0095391C">
        <w:t xml:space="preserve"> mass = 0.5g; adsorption temperature = 25</w:t>
      </w:r>
      <w:r w:rsidRPr="0095391C">
        <w:rPr>
          <w:vertAlign w:val="superscript"/>
        </w:rPr>
        <w:t>0</w:t>
      </w:r>
      <w:r w:rsidRPr="0095391C">
        <w:t>C; Glyphosate volume = 5 mL; particle size = 500µm and agitation speed/time = 250 rpm/24 hour.</w:t>
      </w:r>
    </w:p>
    <w:p w14:paraId="1DE7763E" w14:textId="77777777" w:rsidR="00B93D7D" w:rsidRPr="0095391C" w:rsidRDefault="00B93D7D" w:rsidP="009D6F11">
      <w:pPr>
        <w:tabs>
          <w:tab w:val="left" w:pos="284"/>
        </w:tabs>
        <w:spacing w:before="0" w:line="240" w:lineRule="auto"/>
        <w:rPr>
          <w:lang w:val="en-US"/>
        </w:rPr>
      </w:pPr>
    </w:p>
    <w:p w14:paraId="3C09B3E9" w14:textId="5FB3A0B9" w:rsidR="00E9167C" w:rsidRPr="0095391C" w:rsidRDefault="00B0073F" w:rsidP="00E9167C">
      <w:pPr>
        <w:pStyle w:val="BodyText2"/>
        <w:tabs>
          <w:tab w:val="left" w:pos="720"/>
        </w:tabs>
        <w:spacing w:before="0" w:after="0" w:line="276" w:lineRule="auto"/>
        <w:jc w:val="both"/>
        <w:rPr>
          <w:rFonts w:asciiTheme="minorHAnsi" w:hAnsiTheme="minorHAnsi" w:cstheme="minorHAnsi"/>
          <w:sz w:val="22"/>
          <w:szCs w:val="22"/>
        </w:rPr>
      </w:pPr>
      <w:r w:rsidRPr="0095391C">
        <w:rPr>
          <w:rFonts w:asciiTheme="minorHAnsi" w:hAnsiTheme="minorHAnsi" w:cstheme="minorHAnsi"/>
          <w:sz w:val="22"/>
          <w:szCs w:val="22"/>
        </w:rPr>
        <w:t>The adsorption of glyphosate on E</w:t>
      </w:r>
      <w:r w:rsidR="00B44C51" w:rsidRPr="0095391C">
        <w:rPr>
          <w:rFonts w:asciiTheme="minorHAnsi" w:hAnsiTheme="minorHAnsi" w:cstheme="minorHAnsi"/>
          <w:sz w:val="22"/>
          <w:szCs w:val="22"/>
        </w:rPr>
        <w:t>p</w:t>
      </w:r>
      <w:r w:rsidRPr="0095391C">
        <w:rPr>
          <w:rFonts w:asciiTheme="minorHAnsi" w:hAnsiTheme="minorHAnsi" w:cstheme="minorHAnsi"/>
          <w:sz w:val="22"/>
          <w:szCs w:val="22"/>
        </w:rPr>
        <w:t>t, and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/E</w:t>
      </w:r>
      <w:r w:rsidR="00E9167C" w:rsidRPr="0095391C">
        <w:rPr>
          <w:rFonts w:asciiTheme="minorHAnsi" w:hAnsiTheme="minorHAnsi" w:cstheme="minorHAnsi"/>
          <w:sz w:val="22"/>
          <w:szCs w:val="22"/>
        </w:rPr>
        <w:t>p</w:t>
      </w:r>
      <w:r w:rsidRPr="0095391C">
        <w:rPr>
          <w:rFonts w:asciiTheme="minorHAnsi" w:hAnsiTheme="minorHAnsi" w:cstheme="minorHAnsi"/>
          <w:sz w:val="22"/>
          <w:szCs w:val="22"/>
        </w:rPr>
        <w:t>t at different initial concentrations with the equilibrium adsorption amount of glyphosate increased rapidly at low concentrations. Then, the adsorption capacity increases slowly and finally reaches stabilization. This is also seen in the adsorption efficiency that occurs in the three types of adsorbents. The best performance in adsorptio</w:t>
      </w:r>
      <w:r w:rsidR="00E9167C" w:rsidRPr="0095391C">
        <w:rPr>
          <w:rFonts w:asciiTheme="minorHAnsi" w:hAnsiTheme="minorHAnsi" w:cstheme="minorHAnsi"/>
          <w:sz w:val="22"/>
          <w:szCs w:val="22"/>
        </w:rPr>
        <w:t>n capacity of glyphosate than Ep</w:t>
      </w:r>
      <w:r w:rsidRPr="0095391C">
        <w:rPr>
          <w:rFonts w:asciiTheme="minorHAnsi" w:hAnsiTheme="minorHAnsi" w:cstheme="minorHAnsi"/>
          <w:sz w:val="22"/>
          <w:szCs w:val="22"/>
        </w:rPr>
        <w:t>t and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/E</w:t>
      </w:r>
      <w:r w:rsidR="00E9167C" w:rsidRPr="0095391C">
        <w:rPr>
          <w:rFonts w:asciiTheme="minorHAnsi" w:hAnsiTheme="minorHAnsi" w:cstheme="minorHAnsi"/>
          <w:sz w:val="22"/>
          <w:szCs w:val="22"/>
        </w:rPr>
        <w:t>p</w:t>
      </w:r>
      <w:r w:rsidRPr="0095391C">
        <w:rPr>
          <w:rFonts w:asciiTheme="minorHAnsi" w:hAnsiTheme="minorHAnsi" w:cstheme="minorHAnsi"/>
          <w:sz w:val="22"/>
          <w:szCs w:val="22"/>
        </w:rPr>
        <w:t>t, while the best adsorption effic</w:t>
      </w:r>
      <w:r w:rsidR="00E9167C" w:rsidRPr="0095391C">
        <w:rPr>
          <w:rFonts w:asciiTheme="minorHAnsi" w:hAnsiTheme="minorHAnsi" w:cstheme="minorHAnsi"/>
          <w:sz w:val="22"/>
          <w:szCs w:val="22"/>
        </w:rPr>
        <w:t>tivity</w:t>
      </w:r>
      <w:r w:rsidRPr="0095391C">
        <w:rPr>
          <w:rFonts w:asciiTheme="minorHAnsi" w:hAnsiTheme="minorHAnsi" w:cstheme="minorHAnsi"/>
          <w:sz w:val="22"/>
          <w:szCs w:val="22"/>
        </w:rPr>
        <w:t xml:space="preserve"> on RH</w:t>
      </w:r>
      <w:r w:rsidRPr="0095391C">
        <w:rPr>
          <w:rFonts w:asciiTheme="minorHAnsi" w:hAnsiTheme="minorHAnsi" w:cstheme="minorHAnsi"/>
          <w:sz w:val="22"/>
          <w:szCs w:val="22"/>
          <w:vertAlign w:val="subscript"/>
        </w:rPr>
        <w:t>B</w:t>
      </w:r>
      <w:r w:rsidR="00E9167C" w:rsidRPr="0095391C">
        <w:rPr>
          <w:rFonts w:asciiTheme="minorHAnsi" w:hAnsiTheme="minorHAnsi" w:cstheme="minorHAnsi"/>
          <w:sz w:val="22"/>
          <w:szCs w:val="22"/>
        </w:rPr>
        <w:t>/Ept, compared to Ept (Fig. 5B</w:t>
      </w:r>
      <w:r w:rsidRPr="0095391C">
        <w:rPr>
          <w:rFonts w:asciiTheme="minorHAnsi" w:hAnsiTheme="minorHAnsi" w:cstheme="minorHAnsi"/>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C54385" w:rsidRPr="0095391C" w14:paraId="11049AEF" w14:textId="77777777" w:rsidTr="00C54385">
        <w:tc>
          <w:tcPr>
            <w:tcW w:w="4621" w:type="dxa"/>
          </w:tcPr>
          <w:p w14:paraId="5B3338B3" w14:textId="27841176" w:rsidR="00C54385" w:rsidRPr="0095391C" w:rsidRDefault="00C54385" w:rsidP="00C54385">
            <w:pPr>
              <w:pStyle w:val="BodyText2"/>
              <w:tabs>
                <w:tab w:val="left" w:pos="720"/>
              </w:tabs>
              <w:spacing w:before="0" w:after="0" w:line="276" w:lineRule="auto"/>
              <w:jc w:val="both"/>
              <w:rPr>
                <w:rFonts w:asciiTheme="minorHAnsi" w:hAnsiTheme="minorHAnsi" w:cstheme="minorHAnsi"/>
                <w:sz w:val="22"/>
                <w:szCs w:val="22"/>
              </w:rPr>
            </w:pPr>
            <w:r w:rsidRPr="0095391C">
              <w:rPr>
                <w:noProof/>
                <w:lang w:eastAsia="en-US"/>
              </w:rPr>
              <mc:AlternateContent>
                <mc:Choice Requires="wps">
                  <w:drawing>
                    <wp:anchor distT="0" distB="0" distL="114300" distR="114300" simplePos="0" relativeHeight="251675648" behindDoc="0" locked="0" layoutInCell="1" allowOverlap="1" wp14:anchorId="14671738" wp14:editId="109EB33D">
                      <wp:simplePos x="0" y="0"/>
                      <wp:positionH relativeFrom="column">
                        <wp:posOffset>2056765</wp:posOffset>
                      </wp:positionH>
                      <wp:positionV relativeFrom="paragraph">
                        <wp:posOffset>175260</wp:posOffset>
                      </wp:positionV>
                      <wp:extent cx="323850" cy="234315"/>
                      <wp:effectExtent l="0" t="0" r="0" b="5715"/>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34315"/>
                              </a:xfrm>
                              <a:prstGeom prst="rect">
                                <a:avLst/>
                              </a:prstGeom>
                              <a:noFill/>
                              <a:ln w="9525">
                                <a:noFill/>
                                <a:miter lim="800000"/>
                                <a:headEnd/>
                                <a:tailEnd/>
                              </a:ln>
                            </wps:spPr>
                            <wps:txbx>
                              <w:txbxContent>
                                <w:p w14:paraId="27794DF2" w14:textId="77777777" w:rsidR="00C54385" w:rsidRPr="00D64343" w:rsidRDefault="00C54385" w:rsidP="00C54385">
                                  <w:pPr>
                                    <w:jc w:val="center"/>
                                    <w:rPr>
                                      <w:b/>
                                    </w:rPr>
                                  </w:pPr>
                                  <w:r w:rsidRPr="00D64343">
                                    <w:rPr>
                                      <w:b/>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671738" id="Text Box 290" o:spid="_x0000_s1035" type="#_x0000_t202" style="position:absolute;left:0;text-align:left;margin-left:161.95pt;margin-top:13.8pt;width:25.5pt;height:18.4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" filled="f" stroked="f">
                      <v:textbox style="mso-fit-shape-to-text:t">
                        <w:txbxContent>
                          <w:p w14:paraId="27794DF2" w14:textId="77777777" w:rsidR="00C54385" w:rsidRPr="00D64343" w:rsidRDefault="00C54385" w:rsidP="00C54385">
                            <w:pPr>
                              <w:jc w:val="center"/>
                              <w:rPr>
                                <w:b/>
                              </w:rPr>
                            </w:pPr>
                            <w:r w:rsidRPr="00D64343">
                              <w:rPr>
                                <w:b/>
                              </w:rPr>
                              <w:t>A</w:t>
                            </w:r>
                          </w:p>
                        </w:txbxContent>
                      </v:textbox>
                    </v:shape>
                  </w:pict>
                </mc:Fallback>
              </mc:AlternateContent>
            </w:r>
            <w:r w:rsidRPr="0095391C">
              <w:rPr>
                <w:noProof/>
                <w:lang w:eastAsia="en-US"/>
              </w:rPr>
              <w:drawing>
                <wp:inline distT="0" distB="0" distL="0" distR="0" wp14:anchorId="6BC8AA25" wp14:editId="7AFA88C7">
                  <wp:extent cx="2609850" cy="21336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4621" w:type="dxa"/>
          </w:tcPr>
          <w:p w14:paraId="57130DC8" w14:textId="64C00B32" w:rsidR="00C54385" w:rsidRPr="0095391C" w:rsidRDefault="00C54385" w:rsidP="00C54385">
            <w:pPr>
              <w:pStyle w:val="BodyText2"/>
              <w:tabs>
                <w:tab w:val="left" w:pos="720"/>
              </w:tabs>
              <w:spacing w:before="0" w:after="0" w:line="276" w:lineRule="auto"/>
              <w:jc w:val="both"/>
              <w:rPr>
                <w:rFonts w:asciiTheme="minorHAnsi" w:hAnsiTheme="minorHAnsi" w:cstheme="minorHAnsi"/>
                <w:sz w:val="22"/>
                <w:szCs w:val="22"/>
              </w:rPr>
            </w:pPr>
            <w:r w:rsidRPr="0095391C">
              <w:rPr>
                <w:noProof/>
                <w:lang w:eastAsia="en-US"/>
              </w:rPr>
              <mc:AlternateContent>
                <mc:Choice Requires="wps">
                  <w:drawing>
                    <wp:anchor distT="0" distB="0" distL="114300" distR="114300" simplePos="0" relativeHeight="251677696" behindDoc="0" locked="0" layoutInCell="1" allowOverlap="1" wp14:anchorId="5CCF751B" wp14:editId="367A5EA6">
                      <wp:simplePos x="0" y="0"/>
                      <wp:positionH relativeFrom="column">
                        <wp:posOffset>2046605</wp:posOffset>
                      </wp:positionH>
                      <wp:positionV relativeFrom="paragraph">
                        <wp:posOffset>175260</wp:posOffset>
                      </wp:positionV>
                      <wp:extent cx="323850" cy="234315"/>
                      <wp:effectExtent l="0" t="0" r="0" b="571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34315"/>
                              </a:xfrm>
                              <a:prstGeom prst="rect">
                                <a:avLst/>
                              </a:prstGeom>
                              <a:noFill/>
                              <a:ln w="9525">
                                <a:noFill/>
                                <a:miter lim="800000"/>
                                <a:headEnd/>
                                <a:tailEnd/>
                              </a:ln>
                            </wps:spPr>
                            <wps:txbx>
                              <w:txbxContent>
                                <w:p w14:paraId="1573875A" w14:textId="621E63AE" w:rsidR="00C54385" w:rsidRPr="00C54385" w:rsidRDefault="00C54385" w:rsidP="00C54385">
                                  <w:pPr>
                                    <w:jc w:val="center"/>
                                    <w:rPr>
                                      <w:b/>
                                      <w:lang w:val="en-US"/>
                                    </w:rPr>
                                  </w:pPr>
                                  <w:r>
                                    <w:rPr>
                                      <w:b/>
                                      <w:lang w:val="en-US"/>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CF751B" id="Text Box 291" o:spid="_x0000_s1036" type="#_x0000_t202" style="position:absolute;left:0;text-align:left;margin-left:161.15pt;margin-top:13.8pt;width:25.5pt;height:18.4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" filled="f" stroked="f">
                      <v:textbox style="mso-fit-shape-to-text:t">
                        <w:txbxContent>
                          <w:p w14:paraId="1573875A" w14:textId="621E63AE" w:rsidR="00C54385" w:rsidRPr="00C54385" w:rsidRDefault="00C54385" w:rsidP="00C54385">
                            <w:pPr>
                              <w:jc w:val="center"/>
                              <w:rPr>
                                <w:b/>
                                <w:lang w:val="en-US"/>
                              </w:rPr>
                            </w:pPr>
                            <w:r>
                              <w:rPr>
                                <w:b/>
                                <w:lang w:val="en-US"/>
                              </w:rPr>
                              <w:t>B</w:t>
                            </w:r>
                          </w:p>
                        </w:txbxContent>
                      </v:textbox>
                    </v:shape>
                  </w:pict>
                </mc:Fallback>
              </mc:AlternateContent>
            </w:r>
            <w:r w:rsidRPr="0095391C">
              <w:rPr>
                <w:noProof/>
                <w:lang w:eastAsia="en-US"/>
              </w:rPr>
              <w:drawing>
                <wp:inline distT="0" distB="0" distL="0" distR="0" wp14:anchorId="098D9A82" wp14:editId="71A68C7F">
                  <wp:extent cx="2609850" cy="21336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4FF15B94" w14:textId="3275AE3D" w:rsidR="00C54385" w:rsidRPr="0095391C" w:rsidRDefault="00E9167C" w:rsidP="00C54385">
      <w:pPr>
        <w:pStyle w:val="BodyText2"/>
        <w:tabs>
          <w:tab w:val="left" w:pos="720"/>
        </w:tabs>
        <w:spacing w:before="0" w:after="0" w:line="276" w:lineRule="auto"/>
        <w:jc w:val="both"/>
        <w:rPr>
          <w:rFonts w:asciiTheme="minorHAnsi" w:hAnsiTheme="minorHAnsi" w:cstheme="minorHAnsi"/>
          <w:sz w:val="22"/>
          <w:szCs w:val="22"/>
        </w:rPr>
      </w:pPr>
      <w:r w:rsidRPr="0095391C">
        <w:rPr>
          <w:rFonts w:asciiTheme="minorHAnsi" w:hAnsiTheme="minorHAnsi" w:cstheme="minorHAnsi"/>
          <w:sz w:val="22"/>
          <w:szCs w:val="22"/>
        </w:rPr>
        <w:t>Figure 6</w:t>
      </w:r>
      <w:r w:rsidR="00C54385" w:rsidRPr="0095391C">
        <w:rPr>
          <w:rFonts w:asciiTheme="minorHAnsi" w:hAnsiTheme="minorHAnsi" w:cstheme="minorHAnsi"/>
          <w:sz w:val="22"/>
          <w:szCs w:val="22"/>
        </w:rPr>
        <w:t>.</w:t>
      </w:r>
      <w:r w:rsidR="00C54385" w:rsidRPr="0095391C">
        <w:rPr>
          <w:rFonts w:asciiTheme="minorHAnsi" w:hAnsiTheme="minorHAnsi" w:cstheme="minorHAnsi"/>
          <w:sz w:val="22"/>
          <w:szCs w:val="22"/>
          <w:lang w:eastAsia="ja-JP"/>
        </w:rPr>
        <w:t xml:space="preserve"> </w:t>
      </w:r>
      <w:r w:rsidR="00C54385" w:rsidRPr="0095391C">
        <w:rPr>
          <w:rFonts w:asciiTheme="minorHAnsi" w:hAnsiTheme="minorHAnsi" w:cstheme="minorHAnsi"/>
          <w:sz w:val="22"/>
          <w:szCs w:val="22"/>
        </w:rPr>
        <w:t>Linear plot of equilibrium concentration glyphosate (C</w:t>
      </w:r>
      <w:r w:rsidR="00C54385" w:rsidRPr="0095391C">
        <w:rPr>
          <w:rFonts w:asciiTheme="minorHAnsi" w:hAnsiTheme="minorHAnsi" w:cstheme="minorHAnsi"/>
          <w:sz w:val="22"/>
          <w:szCs w:val="22"/>
          <w:vertAlign w:val="subscript"/>
        </w:rPr>
        <w:t>e</w:t>
      </w:r>
      <w:r w:rsidR="00C54385" w:rsidRPr="0095391C">
        <w:rPr>
          <w:rFonts w:asciiTheme="minorHAnsi" w:hAnsiTheme="minorHAnsi" w:cstheme="minorHAnsi"/>
          <w:sz w:val="22"/>
          <w:szCs w:val="22"/>
        </w:rPr>
        <w:t>) with glyphosate adsorption capacity (Q</w:t>
      </w:r>
      <w:r w:rsidR="00C54385" w:rsidRPr="0095391C">
        <w:rPr>
          <w:rFonts w:asciiTheme="minorHAnsi" w:hAnsiTheme="minorHAnsi" w:cstheme="minorHAnsi"/>
          <w:sz w:val="22"/>
          <w:szCs w:val="22"/>
          <w:vertAlign w:val="subscript"/>
        </w:rPr>
        <w:t>e</w:t>
      </w:r>
      <w:r w:rsidR="00C54385" w:rsidRPr="0095391C">
        <w:rPr>
          <w:rFonts w:asciiTheme="minorHAnsi" w:hAnsiTheme="minorHAnsi" w:cstheme="minorHAnsi"/>
          <w:sz w:val="22"/>
          <w:szCs w:val="22"/>
        </w:rPr>
        <w:t>) of Inceptisols (A) and rice husk biochar amended Inceptisols (B).</w:t>
      </w:r>
    </w:p>
    <w:p w14:paraId="60E14BC2" w14:textId="77777777" w:rsidR="00F5425F" w:rsidRPr="0095391C" w:rsidRDefault="00F5425F" w:rsidP="00F5425F">
      <w:pPr>
        <w:pStyle w:val="BodyText2"/>
        <w:tabs>
          <w:tab w:val="left" w:pos="720"/>
        </w:tabs>
        <w:spacing w:before="0" w:after="0" w:line="276" w:lineRule="auto"/>
        <w:jc w:val="both"/>
        <w:rPr>
          <w:rFonts w:asciiTheme="minorHAnsi" w:hAnsiTheme="minorHAnsi" w:cstheme="minorHAnsi"/>
          <w:sz w:val="22"/>
          <w:szCs w:val="22"/>
        </w:rPr>
      </w:pPr>
    </w:p>
    <w:p w14:paraId="288F443E" w14:textId="77777777" w:rsidR="00F5425F" w:rsidRPr="0095391C" w:rsidRDefault="00F5425F" w:rsidP="00F5425F">
      <w:pPr>
        <w:pStyle w:val="BodyText2"/>
        <w:tabs>
          <w:tab w:val="left" w:pos="720"/>
        </w:tabs>
        <w:spacing w:before="0" w:after="0" w:line="276" w:lineRule="auto"/>
        <w:jc w:val="both"/>
        <w:rPr>
          <w:rFonts w:asciiTheme="minorHAnsi" w:hAnsiTheme="minorHAnsi" w:cstheme="minorHAnsi"/>
          <w:sz w:val="22"/>
          <w:szCs w:val="22"/>
        </w:rPr>
      </w:pPr>
      <w:r w:rsidRPr="0095391C">
        <w:rPr>
          <w:rFonts w:asciiTheme="minorHAnsi" w:hAnsiTheme="minorHAnsi" w:cstheme="minorHAnsi"/>
          <w:sz w:val="22"/>
          <w:szCs w:val="22"/>
        </w:rPr>
        <w:t>The correlation between the equilibrium concentration of glyphosate and the adsorption capacity of glyphosate is shown in Figure 6, where the value of R</w:t>
      </w:r>
      <w:r w:rsidRPr="0095391C">
        <w:rPr>
          <w:rFonts w:asciiTheme="minorHAnsi" w:hAnsiTheme="minorHAnsi" w:cstheme="minorHAnsi"/>
          <w:sz w:val="22"/>
          <w:szCs w:val="22"/>
          <w:vertAlign w:val="superscript"/>
        </w:rPr>
        <w:t>2</w:t>
      </w:r>
      <w:r w:rsidRPr="0095391C">
        <w:rPr>
          <w:rFonts w:asciiTheme="minorHAnsi" w:hAnsiTheme="minorHAnsi" w:cstheme="minorHAnsi"/>
          <w:sz w:val="22"/>
          <w:szCs w:val="22"/>
        </w:rPr>
        <w:t xml:space="preserve"> determines the strength of the relationship between the two in the adsorption process. The correlation results show that the R</w:t>
      </w:r>
      <w:r w:rsidRPr="0095391C">
        <w:rPr>
          <w:rFonts w:asciiTheme="minorHAnsi" w:hAnsiTheme="minorHAnsi" w:cstheme="minorHAnsi"/>
          <w:sz w:val="22"/>
          <w:szCs w:val="22"/>
          <w:vertAlign w:val="superscript"/>
        </w:rPr>
        <w:t>2</w:t>
      </w:r>
      <w:r w:rsidRPr="0095391C">
        <w:rPr>
          <w:rFonts w:asciiTheme="minorHAnsi" w:hAnsiTheme="minorHAnsi" w:cstheme="minorHAnsi"/>
          <w:sz w:val="22"/>
          <w:szCs w:val="22"/>
        </w:rPr>
        <w:t xml:space="preserve"> value of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 xml:space="preserve">/Ept is higher than that of an Ept, each with a value of R² = 0.8098 &gt; R² = 0.7845. This shows that the </w:t>
      </w:r>
      <w:r w:rsidRPr="0095391C">
        <w:rPr>
          <w:rFonts w:asciiTheme="minorHAnsi" w:hAnsiTheme="minorHAnsi" w:cstheme="minorHAnsi"/>
          <w:sz w:val="22"/>
          <w:szCs w:val="22"/>
        </w:rPr>
        <w:lastRenderedPageBreak/>
        <w:t>equilibrium concentration of glyphosate is strongly correlated with the results of the adsorption capacity of glyphosate in Inceptisol which is ameliorated with 40 t ha</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 xml:space="preserve">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 xml:space="preserve">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 xml:space="preserve">/Ept), compared to pure Inceptisols. </w:t>
      </w:r>
    </w:p>
    <w:p w14:paraId="3B44DCA0" w14:textId="77777777" w:rsidR="00C54385" w:rsidRPr="0095391C" w:rsidRDefault="00C54385" w:rsidP="00C54385">
      <w:pPr>
        <w:pStyle w:val="BodyText2"/>
        <w:tabs>
          <w:tab w:val="left" w:pos="720"/>
        </w:tabs>
        <w:spacing w:before="0" w:after="0" w:line="276" w:lineRule="auto"/>
        <w:jc w:val="both"/>
        <w:rPr>
          <w:rFonts w:asciiTheme="minorHAnsi" w:hAnsiTheme="minorHAnsi" w:cstheme="minorHAnsi"/>
          <w:sz w:val="22"/>
          <w:szCs w:val="22"/>
        </w:rPr>
      </w:pPr>
    </w:p>
    <w:p w14:paraId="0EB67CA4" w14:textId="060FD1F7" w:rsidR="00C54385" w:rsidRPr="0095391C" w:rsidRDefault="00C54385" w:rsidP="00C54385">
      <w:pPr>
        <w:pStyle w:val="Heading2"/>
        <w:tabs>
          <w:tab w:val="left" w:pos="720"/>
        </w:tabs>
        <w:autoSpaceDE w:val="0"/>
        <w:autoSpaceDN w:val="0"/>
        <w:spacing w:before="0" w:line="276" w:lineRule="auto"/>
        <w:rPr>
          <w:rFonts w:asciiTheme="minorHAnsi" w:eastAsia="MS Mincho" w:hAnsiTheme="minorHAnsi" w:cstheme="minorHAnsi"/>
          <w:color w:val="000000" w:themeColor="text1"/>
          <w:sz w:val="22"/>
          <w:szCs w:val="22"/>
        </w:rPr>
      </w:pPr>
      <w:r w:rsidRPr="0095391C">
        <w:rPr>
          <w:rFonts w:asciiTheme="minorHAnsi" w:eastAsia="MS Mincho" w:hAnsiTheme="minorHAnsi" w:cstheme="minorHAnsi"/>
          <w:color w:val="000000" w:themeColor="text1"/>
          <w:sz w:val="22"/>
          <w:szCs w:val="22"/>
          <w:lang w:eastAsia="ja-JP"/>
        </w:rPr>
        <w:t>4.</w:t>
      </w:r>
      <w:r w:rsidRPr="0095391C">
        <w:rPr>
          <w:rFonts w:asciiTheme="minorHAnsi" w:eastAsia="MS Mincho" w:hAnsiTheme="minorHAnsi" w:cstheme="minorHAnsi"/>
          <w:color w:val="000000" w:themeColor="text1"/>
          <w:sz w:val="22"/>
          <w:szCs w:val="22"/>
          <w:lang w:val="en-US" w:eastAsia="ja-JP"/>
        </w:rPr>
        <w:t>4</w:t>
      </w:r>
      <w:r w:rsidRPr="0095391C">
        <w:rPr>
          <w:rFonts w:asciiTheme="minorHAnsi" w:eastAsia="MS Mincho" w:hAnsiTheme="minorHAnsi" w:cstheme="minorHAnsi"/>
          <w:color w:val="000000" w:themeColor="text1"/>
          <w:sz w:val="22"/>
          <w:szCs w:val="22"/>
          <w:lang w:eastAsia="ja-JP"/>
        </w:rPr>
        <w:t xml:space="preserve"> </w:t>
      </w:r>
      <w:r w:rsidRPr="0095391C">
        <w:rPr>
          <w:rFonts w:asciiTheme="minorHAnsi" w:eastAsia="MS Mincho" w:hAnsiTheme="minorHAnsi" w:cstheme="minorHAnsi"/>
          <w:bCs w:val="0"/>
          <w:iCs/>
          <w:color w:val="000000" w:themeColor="text1"/>
          <w:sz w:val="22"/>
          <w:szCs w:val="22"/>
        </w:rPr>
        <w:t>Adsorption Isotherms</w:t>
      </w:r>
    </w:p>
    <w:p w14:paraId="1BB4F5C4" w14:textId="36DDACE9" w:rsidR="00CA76AD" w:rsidRPr="0095391C" w:rsidRDefault="007D3359" w:rsidP="00C54385">
      <w:pPr>
        <w:pStyle w:val="Text"/>
        <w:ind w:firstLine="0"/>
        <w:rPr>
          <w:rFonts w:asciiTheme="minorHAnsi" w:hAnsiTheme="minorHAnsi" w:cstheme="minorHAnsi"/>
          <w:sz w:val="22"/>
          <w:szCs w:val="22"/>
        </w:rPr>
      </w:pPr>
      <w:r w:rsidRPr="0095391C">
        <w:rPr>
          <w:rFonts w:asciiTheme="minorHAnsi" w:hAnsiTheme="minorHAnsi" w:cstheme="minorHAnsi"/>
          <w:sz w:val="22"/>
          <w:szCs w:val="22"/>
        </w:rPr>
        <w:t>The isotherm model that is suitable for the adsorption process is selected in the model which has an R</w:t>
      </w:r>
      <w:r w:rsidRPr="0095391C">
        <w:rPr>
          <w:rFonts w:asciiTheme="minorHAnsi" w:hAnsiTheme="minorHAnsi" w:cstheme="minorHAnsi"/>
          <w:sz w:val="22"/>
          <w:szCs w:val="22"/>
          <w:vertAlign w:val="superscript"/>
        </w:rPr>
        <w:t>2</w:t>
      </w:r>
      <w:r w:rsidRPr="0095391C">
        <w:rPr>
          <w:rFonts w:asciiTheme="minorHAnsi" w:hAnsiTheme="minorHAnsi" w:cstheme="minorHAnsi"/>
          <w:sz w:val="22"/>
          <w:szCs w:val="22"/>
        </w:rPr>
        <w:t xml:space="preserve"> value. The linear equation of the isotherm model can be seen in Fig. 7 and Table 3. </w:t>
      </w:r>
      <w:r w:rsidR="006D28B0" w:rsidRPr="0095391C">
        <w:rPr>
          <w:rFonts w:asciiTheme="minorHAnsi" w:hAnsiTheme="minorHAnsi" w:cstheme="minorHAnsi"/>
          <w:sz w:val="22"/>
          <w:szCs w:val="22"/>
        </w:rPr>
        <w:t>The R</w:t>
      </w:r>
      <w:r w:rsidR="006D28B0" w:rsidRPr="0095391C">
        <w:rPr>
          <w:rFonts w:asciiTheme="minorHAnsi" w:hAnsiTheme="minorHAnsi" w:cstheme="minorHAnsi"/>
          <w:sz w:val="22"/>
          <w:szCs w:val="22"/>
          <w:vertAlign w:val="superscript"/>
        </w:rPr>
        <w:t>2</w:t>
      </w:r>
      <w:r w:rsidR="006D28B0" w:rsidRPr="0095391C">
        <w:rPr>
          <w:rFonts w:asciiTheme="minorHAnsi" w:hAnsiTheme="minorHAnsi" w:cstheme="minorHAnsi"/>
          <w:sz w:val="22"/>
          <w:szCs w:val="22"/>
        </w:rPr>
        <w:t xml:space="preserve"> values ​​for each model can be ordered as follows. : Langmuir &gt; Freundlich on Ept and RHB/Ept for each equation with a value of y = -22.739x + 337.97; R² = 0.2474 &gt; y = 0.9739x - 1.6885; R² = 0.1872 and y = -17.182x + 245.39; R² = 0.2655 &gt; y = 1.0003x - 1.6329; R² = 0.2143.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D3359" w:rsidRPr="0095391C" w14:paraId="4FDE3707" w14:textId="77777777" w:rsidTr="007D3359">
        <w:tc>
          <w:tcPr>
            <w:tcW w:w="4621" w:type="dxa"/>
          </w:tcPr>
          <w:p w14:paraId="622A1B8D" w14:textId="4BF1CB73" w:rsidR="007D3359" w:rsidRPr="0095391C" w:rsidRDefault="007D3359" w:rsidP="00C54385">
            <w:pPr>
              <w:pStyle w:val="Text"/>
              <w:ind w:firstLine="0"/>
              <w:rPr>
                <w:rFonts w:asciiTheme="minorHAnsi" w:hAnsiTheme="minorHAnsi" w:cstheme="minorHAnsi"/>
                <w:sz w:val="22"/>
                <w:szCs w:val="22"/>
              </w:rPr>
            </w:pPr>
            <w:r w:rsidRPr="0095391C">
              <w:rPr>
                <w:noProof/>
              </w:rPr>
              <mc:AlternateContent>
                <mc:Choice Requires="wps">
                  <w:drawing>
                    <wp:anchor distT="0" distB="0" distL="114300" distR="114300" simplePos="0" relativeHeight="251687936" behindDoc="0" locked="0" layoutInCell="1" allowOverlap="1" wp14:anchorId="165592DC" wp14:editId="65D61A4D">
                      <wp:simplePos x="0" y="0"/>
                      <wp:positionH relativeFrom="column">
                        <wp:posOffset>1961164</wp:posOffset>
                      </wp:positionH>
                      <wp:positionV relativeFrom="paragraph">
                        <wp:posOffset>762796</wp:posOffset>
                      </wp:positionV>
                      <wp:extent cx="419100" cy="234315"/>
                      <wp:effectExtent l="0" t="0" r="0" b="5715"/>
                      <wp:wrapNone/>
                      <wp:docPr id="304" name="Text 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34315"/>
                              </a:xfrm>
                              <a:prstGeom prst="rect">
                                <a:avLst/>
                              </a:prstGeom>
                              <a:noFill/>
                              <a:ln w="9525">
                                <a:noFill/>
                                <a:miter lim="800000"/>
                                <a:headEnd/>
                                <a:tailEnd/>
                              </a:ln>
                            </wps:spPr>
                            <wps:txbx>
                              <w:txbxContent>
                                <w:p w14:paraId="24C2E107" w14:textId="1AA9952A" w:rsidR="007D3359" w:rsidRPr="007D3359" w:rsidRDefault="007D3359" w:rsidP="007D3359">
                                  <w:pPr>
                                    <w:jc w:val="center"/>
                                    <w:rPr>
                                      <w:b/>
                                      <w:lang w:val="en-US"/>
                                    </w:rPr>
                                  </w:pPr>
                                  <w:r>
                                    <w:rPr>
                                      <w:b/>
                                      <w:lang w:val="en-US"/>
                                    </w:rPr>
                                    <w:t>A1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5592DC" id="Text Box 304" o:spid="_x0000_s1037" type="#_x0000_t202" style="position:absolute;left:0;text-align:left;margin-left:154.4pt;margin-top:60.05pt;width:33pt;height:18.4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" filled="f" stroked="f">
                      <v:textbox style="mso-fit-shape-to-text:t">
                        <w:txbxContent>
                          <w:p w14:paraId="24C2E107" w14:textId="1AA9952A" w:rsidR="007D3359" w:rsidRPr="007D3359" w:rsidRDefault="007D3359" w:rsidP="007D3359">
                            <w:pPr>
                              <w:jc w:val="center"/>
                              <w:rPr>
                                <w:b/>
                                <w:lang w:val="en-US"/>
                              </w:rPr>
                            </w:pPr>
                            <w:r>
                              <w:rPr>
                                <w:b/>
                                <w:lang w:val="en-US"/>
                              </w:rPr>
                              <w:t>A1</w:t>
                            </w:r>
                          </w:p>
                        </w:txbxContent>
                      </v:textbox>
                    </v:shape>
                  </w:pict>
                </mc:Fallback>
              </mc:AlternateContent>
            </w:r>
            <w:r w:rsidRPr="0095391C">
              <w:rPr>
                <w:noProof/>
              </w:rPr>
              <w:drawing>
                <wp:inline distT="0" distB="0" distL="0" distR="0" wp14:anchorId="4B9E4349" wp14:editId="517348B0">
                  <wp:extent cx="2606040" cy="1524000"/>
                  <wp:effectExtent l="0" t="0" r="381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4621" w:type="dxa"/>
          </w:tcPr>
          <w:p w14:paraId="046FCB7D" w14:textId="0FC0080C" w:rsidR="007D3359" w:rsidRPr="0095391C" w:rsidRDefault="007D3359" w:rsidP="00C54385">
            <w:pPr>
              <w:pStyle w:val="Text"/>
              <w:ind w:firstLine="0"/>
              <w:rPr>
                <w:rFonts w:asciiTheme="minorHAnsi" w:hAnsiTheme="minorHAnsi" w:cstheme="minorHAnsi"/>
                <w:sz w:val="22"/>
                <w:szCs w:val="22"/>
              </w:rPr>
            </w:pPr>
            <w:r w:rsidRPr="0095391C">
              <w:rPr>
                <w:noProof/>
              </w:rPr>
              <mc:AlternateContent>
                <mc:Choice Requires="wps">
                  <w:drawing>
                    <wp:anchor distT="0" distB="0" distL="114300" distR="114300" simplePos="0" relativeHeight="251692032" behindDoc="0" locked="0" layoutInCell="1" allowOverlap="1" wp14:anchorId="2E60D2A5" wp14:editId="5B24A269">
                      <wp:simplePos x="0" y="0"/>
                      <wp:positionH relativeFrom="column">
                        <wp:posOffset>1973419</wp:posOffset>
                      </wp:positionH>
                      <wp:positionV relativeFrom="paragraph">
                        <wp:posOffset>758825</wp:posOffset>
                      </wp:positionV>
                      <wp:extent cx="419100" cy="234315"/>
                      <wp:effectExtent l="0" t="0" r="0" b="5715"/>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34315"/>
                              </a:xfrm>
                              <a:prstGeom prst="rect">
                                <a:avLst/>
                              </a:prstGeom>
                              <a:noFill/>
                              <a:ln w="9525">
                                <a:noFill/>
                                <a:miter lim="800000"/>
                                <a:headEnd/>
                                <a:tailEnd/>
                              </a:ln>
                            </wps:spPr>
                            <wps:txbx>
                              <w:txbxContent>
                                <w:p w14:paraId="76CC2CB1" w14:textId="0460AF1E" w:rsidR="007D3359" w:rsidRPr="007D3359" w:rsidRDefault="007D3359" w:rsidP="007D3359">
                                  <w:pPr>
                                    <w:jc w:val="center"/>
                                    <w:rPr>
                                      <w:b/>
                                      <w:lang w:val="en-US"/>
                                    </w:rPr>
                                  </w:pPr>
                                  <w:r>
                                    <w:rPr>
                                      <w:b/>
                                      <w:lang w:val="en-US"/>
                                    </w:rPr>
                                    <w:t>A2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60D2A5" id="Text Box 306" o:spid="_x0000_s1038" type="#_x0000_t202" style="position:absolute;left:0;text-align:left;margin-left:155.4pt;margin-top:59.75pt;width:33pt;height:18.4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" filled="f" stroked="f">
                      <v:textbox style="mso-fit-shape-to-text:t">
                        <w:txbxContent>
                          <w:p w14:paraId="76CC2CB1" w14:textId="0460AF1E" w:rsidR="007D3359" w:rsidRPr="007D3359" w:rsidRDefault="007D3359" w:rsidP="007D3359">
                            <w:pPr>
                              <w:jc w:val="center"/>
                              <w:rPr>
                                <w:b/>
                                <w:lang w:val="en-US"/>
                              </w:rPr>
                            </w:pPr>
                            <w:r>
                              <w:rPr>
                                <w:b/>
                                <w:lang w:val="en-US"/>
                              </w:rPr>
                              <w:t>A2</w:t>
                            </w:r>
                          </w:p>
                        </w:txbxContent>
                      </v:textbox>
                    </v:shape>
                  </w:pict>
                </mc:Fallback>
              </mc:AlternateContent>
            </w:r>
            <w:r w:rsidRPr="0095391C">
              <w:rPr>
                <w:noProof/>
              </w:rPr>
              <w:drawing>
                <wp:inline distT="0" distB="0" distL="0" distR="0" wp14:anchorId="44505860" wp14:editId="48D64598">
                  <wp:extent cx="2599898" cy="1521725"/>
                  <wp:effectExtent l="0" t="0" r="0" b="2540"/>
                  <wp:docPr id="295" name="Chart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7D3359" w:rsidRPr="0095391C" w14:paraId="01D4B1C6" w14:textId="77777777" w:rsidTr="007D3359">
        <w:tc>
          <w:tcPr>
            <w:tcW w:w="4621" w:type="dxa"/>
          </w:tcPr>
          <w:p w14:paraId="1AF1DF5D" w14:textId="0FF47704" w:rsidR="007D3359" w:rsidRPr="0095391C" w:rsidRDefault="007D3359" w:rsidP="00C54385">
            <w:pPr>
              <w:pStyle w:val="Text"/>
              <w:ind w:firstLine="0"/>
              <w:rPr>
                <w:rFonts w:asciiTheme="minorHAnsi" w:hAnsiTheme="minorHAnsi" w:cstheme="minorHAnsi"/>
                <w:sz w:val="22"/>
                <w:szCs w:val="22"/>
              </w:rPr>
            </w:pPr>
            <w:r w:rsidRPr="0095391C">
              <w:rPr>
                <w:noProof/>
              </w:rPr>
              <mc:AlternateContent>
                <mc:Choice Requires="wps">
                  <w:drawing>
                    <wp:anchor distT="0" distB="0" distL="114300" distR="114300" simplePos="0" relativeHeight="251685888" behindDoc="0" locked="0" layoutInCell="1" allowOverlap="1" wp14:anchorId="42CB386C" wp14:editId="0B04F09B">
                      <wp:simplePos x="0" y="0"/>
                      <wp:positionH relativeFrom="column">
                        <wp:posOffset>1931158</wp:posOffset>
                      </wp:positionH>
                      <wp:positionV relativeFrom="paragraph">
                        <wp:posOffset>579196</wp:posOffset>
                      </wp:positionV>
                      <wp:extent cx="419385" cy="234315"/>
                      <wp:effectExtent l="0" t="0" r="0" b="5715"/>
                      <wp:wrapNone/>
                      <wp:docPr id="303"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385" cy="234315"/>
                              </a:xfrm>
                              <a:prstGeom prst="rect">
                                <a:avLst/>
                              </a:prstGeom>
                              <a:noFill/>
                              <a:ln w="9525">
                                <a:noFill/>
                                <a:miter lim="800000"/>
                                <a:headEnd/>
                                <a:tailEnd/>
                              </a:ln>
                            </wps:spPr>
                            <wps:txbx>
                              <w:txbxContent>
                                <w:p w14:paraId="65AC5F2A" w14:textId="35E89F89" w:rsidR="007D3359" w:rsidRPr="007D3359" w:rsidRDefault="007D3359" w:rsidP="007D3359">
                                  <w:pPr>
                                    <w:jc w:val="center"/>
                                    <w:rPr>
                                      <w:b/>
                                      <w:lang w:val="en-US"/>
                                    </w:rPr>
                                  </w:pPr>
                                  <w:r>
                                    <w:rPr>
                                      <w:b/>
                                      <w:lang w:val="en-US"/>
                                    </w:rPr>
                                    <w:t>B1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CB386C" id="Text Box 303" o:spid="_x0000_s1039" type="#_x0000_t202" style="position:absolute;left:0;text-align:left;margin-left:152.05pt;margin-top:45.6pt;width:33pt;height:18.4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" filled="f" stroked="f">
                      <v:textbox style="mso-fit-shape-to-text:t">
                        <w:txbxContent>
                          <w:p w14:paraId="65AC5F2A" w14:textId="35E89F89" w:rsidR="007D3359" w:rsidRPr="007D3359" w:rsidRDefault="007D3359" w:rsidP="007D3359">
                            <w:pPr>
                              <w:jc w:val="center"/>
                              <w:rPr>
                                <w:b/>
                                <w:lang w:val="en-US"/>
                              </w:rPr>
                            </w:pPr>
                            <w:r>
                              <w:rPr>
                                <w:b/>
                                <w:lang w:val="en-US"/>
                              </w:rPr>
                              <w:t>B1</w:t>
                            </w:r>
                          </w:p>
                        </w:txbxContent>
                      </v:textbox>
                    </v:shape>
                  </w:pict>
                </mc:Fallback>
              </mc:AlternateContent>
            </w:r>
            <w:r w:rsidRPr="0095391C">
              <w:rPr>
                <w:noProof/>
              </w:rPr>
              <w:drawing>
                <wp:inline distT="0" distB="0" distL="0" distR="0" wp14:anchorId="4F3AD207" wp14:editId="43AEEC03">
                  <wp:extent cx="2606040" cy="1534160"/>
                  <wp:effectExtent l="0" t="0" r="3810" b="8890"/>
                  <wp:docPr id="298" name="Chart 2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4621" w:type="dxa"/>
          </w:tcPr>
          <w:p w14:paraId="4C12A1C4" w14:textId="77FB0D0E" w:rsidR="007D3359" w:rsidRPr="0095391C" w:rsidRDefault="007D3359" w:rsidP="00C54385">
            <w:pPr>
              <w:pStyle w:val="Text"/>
              <w:ind w:firstLine="0"/>
              <w:rPr>
                <w:rFonts w:asciiTheme="minorHAnsi" w:hAnsiTheme="minorHAnsi" w:cstheme="minorHAnsi"/>
                <w:sz w:val="22"/>
                <w:szCs w:val="22"/>
              </w:rPr>
            </w:pPr>
            <w:r w:rsidRPr="0095391C">
              <w:rPr>
                <w:noProof/>
              </w:rPr>
              <mc:AlternateContent>
                <mc:Choice Requires="wps">
                  <w:drawing>
                    <wp:anchor distT="0" distB="0" distL="114300" distR="114300" simplePos="0" relativeHeight="251689984" behindDoc="0" locked="0" layoutInCell="1" allowOverlap="1" wp14:anchorId="5FDC3084" wp14:editId="7530D402">
                      <wp:simplePos x="0" y="0"/>
                      <wp:positionH relativeFrom="column">
                        <wp:posOffset>1949450</wp:posOffset>
                      </wp:positionH>
                      <wp:positionV relativeFrom="paragraph">
                        <wp:posOffset>576580</wp:posOffset>
                      </wp:positionV>
                      <wp:extent cx="419100" cy="234315"/>
                      <wp:effectExtent l="0" t="0" r="0" b="5715"/>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34315"/>
                              </a:xfrm>
                              <a:prstGeom prst="rect">
                                <a:avLst/>
                              </a:prstGeom>
                              <a:noFill/>
                              <a:ln w="9525">
                                <a:noFill/>
                                <a:miter lim="800000"/>
                                <a:headEnd/>
                                <a:tailEnd/>
                              </a:ln>
                            </wps:spPr>
                            <wps:txbx>
                              <w:txbxContent>
                                <w:p w14:paraId="273B9468" w14:textId="58BB1D60" w:rsidR="007D3359" w:rsidRPr="007D3359" w:rsidRDefault="007D3359" w:rsidP="007D3359">
                                  <w:pPr>
                                    <w:jc w:val="center"/>
                                    <w:rPr>
                                      <w:b/>
                                      <w:lang w:val="en-US"/>
                                    </w:rPr>
                                  </w:pPr>
                                  <w:r>
                                    <w:rPr>
                                      <w:b/>
                                      <w:lang w:val="en-US"/>
                                    </w:rPr>
                                    <w:t>B2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DC3084" id="Text Box 305" o:spid="_x0000_s1040" type="#_x0000_t202" style="position:absolute;left:0;text-align:left;margin-left:153.5pt;margin-top:45.4pt;width:33pt;height:18.4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" filled="f" stroked="f">
                      <v:textbox style="mso-fit-shape-to-text:t">
                        <w:txbxContent>
                          <w:p w14:paraId="273B9468" w14:textId="58BB1D60" w:rsidR="007D3359" w:rsidRPr="007D3359" w:rsidRDefault="007D3359" w:rsidP="007D3359">
                            <w:pPr>
                              <w:jc w:val="center"/>
                              <w:rPr>
                                <w:b/>
                                <w:lang w:val="en-US"/>
                              </w:rPr>
                            </w:pPr>
                            <w:r>
                              <w:rPr>
                                <w:b/>
                                <w:lang w:val="en-US"/>
                              </w:rPr>
                              <w:t>B2</w:t>
                            </w:r>
                          </w:p>
                        </w:txbxContent>
                      </v:textbox>
                    </v:shape>
                  </w:pict>
                </mc:Fallback>
              </mc:AlternateContent>
            </w:r>
            <w:r w:rsidRPr="0095391C">
              <w:rPr>
                <w:noProof/>
              </w:rPr>
              <w:drawing>
                <wp:inline distT="0" distB="0" distL="0" distR="0" wp14:anchorId="6BAC6960" wp14:editId="28B017B4">
                  <wp:extent cx="2606040" cy="1534160"/>
                  <wp:effectExtent l="0" t="0" r="3810" b="8890"/>
                  <wp:docPr id="299" name="Chart 29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bl>
    <w:p w14:paraId="18407C09" w14:textId="59F4647D" w:rsidR="007D3359" w:rsidRPr="0095391C" w:rsidRDefault="007D3359" w:rsidP="00C54385">
      <w:pPr>
        <w:pStyle w:val="Text"/>
        <w:ind w:firstLine="0"/>
        <w:rPr>
          <w:rFonts w:asciiTheme="minorHAnsi" w:hAnsiTheme="minorHAnsi" w:cstheme="minorHAnsi"/>
          <w:sz w:val="22"/>
          <w:szCs w:val="22"/>
        </w:rPr>
      </w:pPr>
      <w:r w:rsidRPr="0095391C">
        <w:rPr>
          <w:rFonts w:asciiTheme="minorHAnsi" w:hAnsiTheme="minorHAnsi" w:cstheme="minorHAnsi"/>
          <w:sz w:val="22"/>
          <w:szCs w:val="22"/>
        </w:rPr>
        <w:t>Figure 7. Linear plot of Freundlich (A) and Langmuir (B) isotherm on the adsorption of glyphosate with Inceptisols (1) and RH</w:t>
      </w:r>
      <w:r w:rsidRPr="0095391C">
        <w:rPr>
          <w:rFonts w:asciiTheme="minorHAnsi" w:hAnsiTheme="minorHAnsi" w:cstheme="minorHAnsi"/>
          <w:sz w:val="22"/>
          <w:szCs w:val="22"/>
          <w:vertAlign w:val="subscript"/>
        </w:rPr>
        <w:t>B</w:t>
      </w:r>
      <w:r w:rsidRPr="0095391C">
        <w:rPr>
          <w:rFonts w:asciiTheme="minorHAnsi" w:hAnsiTheme="minorHAnsi" w:cstheme="minorHAnsi"/>
          <w:sz w:val="22"/>
          <w:szCs w:val="22"/>
        </w:rPr>
        <w:t>/Inceptisols (2).</w:t>
      </w:r>
    </w:p>
    <w:p w14:paraId="2650BFBD" w14:textId="77777777" w:rsidR="006D28B0" w:rsidRPr="0095391C" w:rsidRDefault="006D28B0" w:rsidP="00C54385">
      <w:pPr>
        <w:pStyle w:val="Text"/>
        <w:ind w:firstLine="0"/>
        <w:rPr>
          <w:rFonts w:asciiTheme="minorHAnsi" w:hAnsiTheme="minorHAnsi" w:cstheme="minorHAnsi"/>
          <w:noProof/>
          <w:sz w:val="22"/>
          <w:szCs w:val="22"/>
          <w:lang w:eastAsia="ja-JP"/>
        </w:rPr>
      </w:pPr>
    </w:p>
    <w:p w14:paraId="78AD65C1" w14:textId="6DC161A7" w:rsidR="007D3359" w:rsidRPr="0095391C" w:rsidRDefault="006D28B0" w:rsidP="00C54385">
      <w:pPr>
        <w:pStyle w:val="Text"/>
        <w:ind w:firstLine="0"/>
        <w:rPr>
          <w:rFonts w:asciiTheme="minorHAnsi" w:hAnsiTheme="minorHAnsi" w:cstheme="minorHAnsi"/>
          <w:sz w:val="22"/>
          <w:szCs w:val="22"/>
        </w:rPr>
      </w:pPr>
      <w:r w:rsidRPr="0095391C">
        <w:rPr>
          <w:rFonts w:asciiTheme="minorHAnsi" w:hAnsiTheme="minorHAnsi" w:cstheme="minorHAnsi"/>
          <w:noProof/>
          <w:sz w:val="22"/>
          <w:szCs w:val="22"/>
          <w:lang w:eastAsia="ja-JP"/>
        </w:rPr>
        <w:t>T</w:t>
      </w:r>
      <w:r w:rsidR="00A663CA" w:rsidRPr="0095391C">
        <w:rPr>
          <w:rFonts w:asciiTheme="minorHAnsi" w:hAnsiTheme="minorHAnsi" w:cstheme="minorHAnsi"/>
          <w:noProof/>
          <w:sz w:val="22"/>
          <w:szCs w:val="22"/>
          <w:lang w:eastAsia="ja-JP"/>
        </w:rPr>
        <w:t>he Langmuir model (R</w:t>
      </w:r>
      <w:r w:rsidR="00A663CA" w:rsidRPr="0095391C">
        <w:rPr>
          <w:rFonts w:asciiTheme="minorHAnsi" w:hAnsiTheme="minorHAnsi" w:cstheme="minorHAnsi"/>
          <w:noProof/>
          <w:sz w:val="22"/>
          <w:szCs w:val="22"/>
          <w:vertAlign w:val="superscript"/>
          <w:lang w:eastAsia="ja-JP"/>
        </w:rPr>
        <w:t>2</w:t>
      </w:r>
      <w:r w:rsidR="00A663CA" w:rsidRPr="0095391C">
        <w:rPr>
          <w:rFonts w:asciiTheme="minorHAnsi" w:hAnsiTheme="minorHAnsi" w:cstheme="minorHAnsi"/>
          <w:noProof/>
          <w:sz w:val="22"/>
          <w:szCs w:val="22"/>
          <w:lang w:eastAsia="ja-JP"/>
        </w:rPr>
        <w:t xml:space="preserve"> = 0.27) is dominated by the adsorption process of glyphosate on soil amelioration with RH</w:t>
      </w:r>
      <w:r w:rsidR="00A663CA" w:rsidRPr="0095391C">
        <w:rPr>
          <w:rFonts w:asciiTheme="minorHAnsi" w:hAnsiTheme="minorHAnsi" w:cstheme="minorHAnsi"/>
          <w:noProof/>
          <w:sz w:val="22"/>
          <w:szCs w:val="22"/>
          <w:vertAlign w:val="subscript"/>
          <w:lang w:eastAsia="ja-JP"/>
        </w:rPr>
        <w:t>B</w:t>
      </w:r>
      <w:r w:rsidR="00A663CA" w:rsidRPr="0095391C">
        <w:rPr>
          <w:rFonts w:asciiTheme="minorHAnsi" w:hAnsiTheme="minorHAnsi" w:cstheme="minorHAnsi"/>
          <w:noProof/>
          <w:sz w:val="22"/>
          <w:szCs w:val="22"/>
          <w:lang w:eastAsia="ja-JP"/>
        </w:rPr>
        <w:t>/Ent with a value of Q</w:t>
      </w:r>
      <w:r w:rsidR="00A663CA" w:rsidRPr="0095391C">
        <w:rPr>
          <w:rFonts w:asciiTheme="minorHAnsi" w:hAnsiTheme="minorHAnsi" w:cstheme="minorHAnsi"/>
          <w:noProof/>
          <w:sz w:val="22"/>
          <w:szCs w:val="22"/>
          <w:vertAlign w:val="subscript"/>
          <w:lang w:eastAsia="ja-JP"/>
        </w:rPr>
        <w:t>m</w:t>
      </w:r>
      <w:r w:rsidR="00A663CA" w:rsidRPr="0095391C">
        <w:rPr>
          <w:rFonts w:asciiTheme="minorHAnsi" w:hAnsiTheme="minorHAnsi" w:cstheme="minorHAnsi"/>
          <w:noProof/>
          <w:sz w:val="22"/>
          <w:szCs w:val="22"/>
          <w:lang w:eastAsia="ja-JP"/>
        </w:rPr>
        <w:t xml:space="preserve"> (0.06 mg g</w:t>
      </w:r>
      <w:r w:rsidR="00A663CA" w:rsidRPr="0095391C">
        <w:rPr>
          <w:rFonts w:asciiTheme="minorHAnsi" w:hAnsiTheme="minorHAnsi" w:cstheme="minorHAnsi"/>
          <w:noProof/>
          <w:sz w:val="22"/>
          <w:szCs w:val="22"/>
          <w:vertAlign w:val="superscript"/>
          <w:lang w:eastAsia="ja-JP"/>
        </w:rPr>
        <w:t>-1</w:t>
      </w:r>
      <w:r w:rsidR="00A663CA" w:rsidRPr="0095391C">
        <w:rPr>
          <w:rFonts w:asciiTheme="minorHAnsi" w:hAnsiTheme="minorHAnsi" w:cstheme="minorHAnsi"/>
          <w:noProof/>
          <w:sz w:val="22"/>
          <w:szCs w:val="22"/>
          <w:lang w:eastAsia="ja-JP"/>
        </w:rPr>
        <w:t>) and K</w:t>
      </w:r>
      <w:r w:rsidR="00A663CA" w:rsidRPr="0095391C">
        <w:rPr>
          <w:rFonts w:asciiTheme="minorHAnsi" w:hAnsiTheme="minorHAnsi" w:cstheme="minorHAnsi"/>
          <w:noProof/>
          <w:sz w:val="22"/>
          <w:szCs w:val="22"/>
          <w:vertAlign w:val="subscript"/>
          <w:lang w:eastAsia="ja-JP"/>
        </w:rPr>
        <w:t>L</w:t>
      </w:r>
      <w:r w:rsidR="00A663CA" w:rsidRPr="0095391C">
        <w:rPr>
          <w:rFonts w:asciiTheme="minorHAnsi" w:hAnsiTheme="minorHAnsi" w:cstheme="minorHAnsi"/>
          <w:noProof/>
          <w:sz w:val="22"/>
          <w:szCs w:val="22"/>
          <w:lang w:eastAsia="ja-JP"/>
        </w:rPr>
        <w:t xml:space="preserve"> (0.068</w:t>
      </w:r>
      <w:r w:rsidR="00A663CA" w:rsidRPr="0095391C">
        <w:rPr>
          <w:rFonts w:asciiTheme="minorHAnsi" w:hAnsiTheme="minorHAnsi" w:cstheme="minorHAnsi"/>
          <w:sz w:val="22"/>
          <w:szCs w:val="22"/>
        </w:rPr>
        <w:t>L mg</w:t>
      </w:r>
      <w:r w:rsidR="00A663CA" w:rsidRPr="0095391C">
        <w:rPr>
          <w:rFonts w:asciiTheme="minorHAnsi" w:hAnsiTheme="minorHAnsi" w:cstheme="minorHAnsi"/>
          <w:sz w:val="22"/>
          <w:szCs w:val="22"/>
          <w:vertAlign w:val="superscript"/>
        </w:rPr>
        <w:t>-1</w:t>
      </w:r>
      <w:r w:rsidR="00A663CA" w:rsidRPr="0095391C">
        <w:rPr>
          <w:rFonts w:asciiTheme="minorHAnsi" w:hAnsiTheme="minorHAnsi" w:cstheme="minorHAnsi"/>
          <w:noProof/>
          <w:sz w:val="22"/>
          <w:szCs w:val="22"/>
          <w:lang w:eastAsia="ja-JP"/>
        </w:rPr>
        <w:t>) at an adsorption efficiency of 86.93%, while the Freundlich model (R</w:t>
      </w:r>
      <w:r w:rsidR="00A663CA" w:rsidRPr="0095391C">
        <w:rPr>
          <w:rFonts w:asciiTheme="minorHAnsi" w:hAnsiTheme="minorHAnsi" w:cstheme="minorHAnsi"/>
          <w:noProof/>
          <w:sz w:val="22"/>
          <w:szCs w:val="22"/>
          <w:vertAlign w:val="superscript"/>
          <w:lang w:eastAsia="ja-JP"/>
        </w:rPr>
        <w:t>2</w:t>
      </w:r>
      <w:r w:rsidR="00A663CA" w:rsidRPr="0095391C">
        <w:rPr>
          <w:rFonts w:asciiTheme="minorHAnsi" w:hAnsiTheme="minorHAnsi" w:cstheme="minorHAnsi"/>
          <w:noProof/>
          <w:sz w:val="22"/>
          <w:szCs w:val="22"/>
          <w:lang w:eastAsia="ja-JP"/>
        </w:rPr>
        <w:t xml:space="preserve"> = 0.21) was dominated by the adsorption process of glyphosate on RH</w:t>
      </w:r>
      <w:r w:rsidR="00A663CA" w:rsidRPr="0095391C">
        <w:rPr>
          <w:rFonts w:asciiTheme="minorHAnsi" w:hAnsiTheme="minorHAnsi" w:cstheme="minorHAnsi"/>
          <w:noProof/>
          <w:sz w:val="22"/>
          <w:szCs w:val="22"/>
          <w:vertAlign w:val="subscript"/>
          <w:lang w:eastAsia="ja-JP"/>
        </w:rPr>
        <w:t>B</w:t>
      </w:r>
      <w:r w:rsidR="00A663CA" w:rsidRPr="0095391C">
        <w:rPr>
          <w:rFonts w:asciiTheme="minorHAnsi" w:hAnsiTheme="minorHAnsi" w:cstheme="minorHAnsi"/>
          <w:noProof/>
          <w:sz w:val="22"/>
          <w:szCs w:val="22"/>
          <w:lang w:eastAsia="ja-JP"/>
        </w:rPr>
        <w:t xml:space="preserve"> with a value of n (1.00) and K</w:t>
      </w:r>
      <w:r w:rsidR="00A663CA" w:rsidRPr="0095391C">
        <w:rPr>
          <w:rFonts w:asciiTheme="minorHAnsi" w:hAnsiTheme="minorHAnsi" w:cstheme="minorHAnsi"/>
          <w:noProof/>
          <w:sz w:val="22"/>
          <w:szCs w:val="22"/>
          <w:vertAlign w:val="subscript"/>
          <w:lang w:eastAsia="ja-JP"/>
        </w:rPr>
        <w:t>F</w:t>
      </w:r>
      <w:r w:rsidR="00A663CA" w:rsidRPr="0095391C">
        <w:rPr>
          <w:rFonts w:asciiTheme="minorHAnsi" w:hAnsiTheme="minorHAnsi" w:cstheme="minorHAnsi"/>
          <w:noProof/>
          <w:sz w:val="22"/>
          <w:szCs w:val="22"/>
          <w:lang w:eastAsia="ja-JP"/>
        </w:rPr>
        <w:t xml:space="preserve"> (42.94 (</w:t>
      </w:r>
      <w:r w:rsidR="00A663CA" w:rsidRPr="0095391C">
        <w:rPr>
          <w:rFonts w:asciiTheme="minorHAnsi" w:hAnsiTheme="minorHAnsi" w:cstheme="minorHAnsi"/>
          <w:sz w:val="22"/>
          <w:szCs w:val="22"/>
        </w:rPr>
        <w:t>mg g</w:t>
      </w:r>
      <w:r w:rsidR="00A663CA" w:rsidRPr="0095391C">
        <w:rPr>
          <w:rFonts w:asciiTheme="minorHAnsi" w:hAnsiTheme="minorHAnsi" w:cstheme="minorHAnsi"/>
          <w:sz w:val="22"/>
          <w:szCs w:val="22"/>
          <w:vertAlign w:val="superscript"/>
        </w:rPr>
        <w:t xml:space="preserve">-1 </w:t>
      </w:r>
      <w:r w:rsidR="00A663CA" w:rsidRPr="0095391C">
        <w:rPr>
          <w:rFonts w:asciiTheme="minorHAnsi" w:hAnsiTheme="minorHAnsi" w:cstheme="minorHAnsi"/>
          <w:sz w:val="22"/>
          <w:szCs w:val="22"/>
        </w:rPr>
        <w:t>L mg</w:t>
      </w:r>
      <w:r w:rsidR="00A663CA" w:rsidRPr="0095391C">
        <w:rPr>
          <w:rFonts w:asciiTheme="minorHAnsi" w:hAnsiTheme="minorHAnsi" w:cstheme="minorHAnsi"/>
          <w:sz w:val="22"/>
          <w:szCs w:val="22"/>
          <w:vertAlign w:val="superscript"/>
        </w:rPr>
        <w:t>-1</w:t>
      </w:r>
      <w:r w:rsidR="00A663CA" w:rsidRPr="0095391C">
        <w:rPr>
          <w:rFonts w:asciiTheme="minorHAnsi" w:hAnsiTheme="minorHAnsi" w:cstheme="minorHAnsi"/>
          <w:sz w:val="22"/>
          <w:szCs w:val="22"/>
        </w:rPr>
        <w:t>)</w:t>
      </w:r>
      <w:r w:rsidR="00A663CA" w:rsidRPr="0095391C">
        <w:rPr>
          <w:rFonts w:asciiTheme="minorHAnsi" w:hAnsiTheme="minorHAnsi" w:cstheme="minorHAnsi"/>
          <w:sz w:val="22"/>
          <w:szCs w:val="22"/>
          <w:vertAlign w:val="superscript"/>
        </w:rPr>
        <w:t>1/n</w:t>
      </w:r>
      <w:r w:rsidR="00A663CA" w:rsidRPr="0095391C">
        <w:rPr>
          <w:rFonts w:asciiTheme="minorHAnsi" w:hAnsiTheme="minorHAnsi" w:cstheme="minorHAnsi"/>
          <w:noProof/>
          <w:sz w:val="22"/>
          <w:szCs w:val="22"/>
          <w:lang w:eastAsia="ja-JP"/>
        </w:rPr>
        <w:t xml:space="preserve"> at an adsorption efficiency of 86.94% at a concentration level of 100 ppm and pH 5.20 unit.</w:t>
      </w:r>
    </w:p>
    <w:p w14:paraId="2274F1D3" w14:textId="7396E4A0" w:rsidR="00C54385" w:rsidRPr="0095391C" w:rsidRDefault="00C54385" w:rsidP="00C54385">
      <w:pPr>
        <w:pStyle w:val="Text"/>
        <w:ind w:firstLine="0"/>
        <w:rPr>
          <w:rFonts w:asciiTheme="minorHAnsi" w:hAnsiTheme="minorHAnsi" w:cstheme="minorHAnsi"/>
          <w:sz w:val="22"/>
          <w:szCs w:val="22"/>
        </w:rPr>
      </w:pPr>
      <w:r w:rsidRPr="0095391C">
        <w:rPr>
          <w:rFonts w:asciiTheme="minorHAnsi" w:hAnsiTheme="minorHAnsi" w:cstheme="minorHAnsi"/>
          <w:sz w:val="22"/>
          <w:szCs w:val="22"/>
        </w:rPr>
        <w:t xml:space="preserve">Table 3. Langmuir and Freundlich model parameters on adsorption glyphosate in Inceptisols and rice husk biochar amended Inceptisols. </w:t>
      </w:r>
    </w:p>
    <w:tbl>
      <w:tblPr>
        <w:tblStyle w:val="TableGrid"/>
        <w:tblW w:w="7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9"/>
        <w:gridCol w:w="2767"/>
        <w:gridCol w:w="1559"/>
        <w:gridCol w:w="1134"/>
        <w:gridCol w:w="992"/>
      </w:tblGrid>
      <w:tr w:rsidR="00C54385" w:rsidRPr="0095391C" w14:paraId="1FF6E76F" w14:textId="77777777" w:rsidTr="00F5425F">
        <w:tc>
          <w:tcPr>
            <w:tcW w:w="1169" w:type="dxa"/>
            <w:tcBorders>
              <w:top w:val="single" w:sz="4" w:space="0" w:color="auto"/>
              <w:left w:val="nil"/>
              <w:bottom w:val="single" w:sz="4" w:space="0" w:color="auto"/>
              <w:right w:val="nil"/>
            </w:tcBorders>
            <w:shd w:val="clear" w:color="auto" w:fill="auto"/>
            <w:hideMark/>
          </w:tcPr>
          <w:p w14:paraId="7B6DF9CD"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Models</w:t>
            </w:r>
          </w:p>
        </w:tc>
        <w:tc>
          <w:tcPr>
            <w:tcW w:w="2767" w:type="dxa"/>
            <w:tcBorders>
              <w:top w:val="single" w:sz="4" w:space="0" w:color="auto"/>
              <w:left w:val="nil"/>
              <w:bottom w:val="single" w:sz="4" w:space="0" w:color="auto"/>
              <w:right w:val="nil"/>
            </w:tcBorders>
            <w:shd w:val="clear" w:color="auto" w:fill="auto"/>
            <w:hideMark/>
          </w:tcPr>
          <w:p w14:paraId="4515189F"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Adsorbent</w:t>
            </w:r>
          </w:p>
        </w:tc>
        <w:tc>
          <w:tcPr>
            <w:tcW w:w="3685" w:type="dxa"/>
            <w:gridSpan w:val="3"/>
            <w:tcBorders>
              <w:top w:val="single" w:sz="4" w:space="0" w:color="auto"/>
              <w:left w:val="nil"/>
              <w:bottom w:val="single" w:sz="4" w:space="0" w:color="auto"/>
              <w:right w:val="nil"/>
            </w:tcBorders>
            <w:shd w:val="clear" w:color="auto" w:fill="auto"/>
            <w:hideMark/>
          </w:tcPr>
          <w:p w14:paraId="555E5BDC"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Isotherm parameters</w:t>
            </w:r>
          </w:p>
        </w:tc>
      </w:tr>
      <w:tr w:rsidR="00C54385" w:rsidRPr="0095391C" w14:paraId="5D7FE88F" w14:textId="77777777" w:rsidTr="00F5425F">
        <w:tc>
          <w:tcPr>
            <w:tcW w:w="1169" w:type="dxa"/>
            <w:vMerge w:val="restart"/>
            <w:tcBorders>
              <w:top w:val="single" w:sz="4" w:space="0" w:color="auto"/>
              <w:left w:val="nil"/>
              <w:bottom w:val="single" w:sz="4" w:space="0" w:color="auto"/>
              <w:right w:val="nil"/>
            </w:tcBorders>
            <w:shd w:val="clear" w:color="auto" w:fill="auto"/>
            <w:hideMark/>
          </w:tcPr>
          <w:p w14:paraId="5E193F00"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Langmuir</w:t>
            </w:r>
          </w:p>
        </w:tc>
        <w:tc>
          <w:tcPr>
            <w:tcW w:w="2767" w:type="dxa"/>
            <w:tcBorders>
              <w:top w:val="single" w:sz="4" w:space="0" w:color="auto"/>
              <w:left w:val="nil"/>
              <w:bottom w:val="single" w:sz="4" w:space="0" w:color="auto"/>
              <w:right w:val="nil"/>
            </w:tcBorders>
            <w:shd w:val="clear" w:color="auto" w:fill="auto"/>
            <w:vAlign w:val="center"/>
          </w:tcPr>
          <w:p w14:paraId="0992CD41" w14:textId="77777777" w:rsidR="00C54385" w:rsidRPr="0095391C" w:rsidRDefault="00C54385">
            <w:pPr>
              <w:pStyle w:val="Text"/>
              <w:ind w:firstLine="0"/>
              <w:jc w:val="center"/>
              <w:rPr>
                <w:rFonts w:asciiTheme="minorHAnsi" w:hAnsiTheme="minorHAnsi" w:cstheme="minorHAnsi"/>
                <w:sz w:val="22"/>
                <w:szCs w:val="22"/>
                <w:lang w:eastAsia="ja-JP"/>
              </w:rPr>
            </w:pPr>
          </w:p>
        </w:tc>
        <w:tc>
          <w:tcPr>
            <w:tcW w:w="1559" w:type="dxa"/>
            <w:tcBorders>
              <w:top w:val="single" w:sz="4" w:space="0" w:color="auto"/>
              <w:left w:val="nil"/>
              <w:bottom w:val="single" w:sz="4" w:space="0" w:color="auto"/>
              <w:right w:val="nil"/>
            </w:tcBorders>
            <w:shd w:val="clear" w:color="auto" w:fill="auto"/>
            <w:vAlign w:val="center"/>
            <w:hideMark/>
          </w:tcPr>
          <w:p w14:paraId="1D1B22BD" w14:textId="707D5138" w:rsidR="00C54385" w:rsidRPr="0095391C" w:rsidRDefault="00C54385" w:rsidP="00F5425F">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Q</w:t>
            </w:r>
            <w:r w:rsidRPr="0095391C">
              <w:rPr>
                <w:rFonts w:asciiTheme="minorHAnsi" w:hAnsiTheme="minorHAnsi" w:cstheme="minorHAnsi"/>
                <w:sz w:val="22"/>
                <w:szCs w:val="22"/>
                <w:vertAlign w:val="subscript"/>
                <w:lang w:eastAsia="ja-JP"/>
              </w:rPr>
              <w:t>m</w:t>
            </w:r>
            <w:r w:rsidR="00F5425F" w:rsidRPr="0095391C">
              <w:rPr>
                <w:rFonts w:asciiTheme="minorHAnsi" w:hAnsiTheme="minorHAnsi" w:cstheme="minorHAnsi"/>
                <w:sz w:val="22"/>
                <w:szCs w:val="22"/>
                <w:vertAlign w:val="subscript"/>
                <w:lang w:eastAsia="ja-JP"/>
              </w:rPr>
              <w:t xml:space="preserve"> </w:t>
            </w:r>
            <w:r w:rsidRPr="0095391C">
              <w:rPr>
                <w:rFonts w:asciiTheme="minorHAnsi" w:hAnsiTheme="minorHAnsi" w:cstheme="minorHAnsi"/>
                <w:sz w:val="22"/>
                <w:szCs w:val="22"/>
                <w:lang w:eastAsia="ja-JP"/>
              </w:rPr>
              <w:t>(mg g</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w:t>
            </w:r>
          </w:p>
        </w:tc>
        <w:tc>
          <w:tcPr>
            <w:tcW w:w="1134" w:type="dxa"/>
            <w:tcBorders>
              <w:top w:val="single" w:sz="4" w:space="0" w:color="auto"/>
              <w:left w:val="nil"/>
              <w:bottom w:val="single" w:sz="4" w:space="0" w:color="auto"/>
              <w:right w:val="nil"/>
            </w:tcBorders>
            <w:shd w:val="clear" w:color="auto" w:fill="auto"/>
            <w:vAlign w:val="center"/>
            <w:hideMark/>
          </w:tcPr>
          <w:p w14:paraId="35108035"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K</w:t>
            </w:r>
            <w:r w:rsidRPr="0095391C">
              <w:rPr>
                <w:rFonts w:asciiTheme="minorHAnsi" w:hAnsiTheme="minorHAnsi" w:cstheme="minorHAnsi"/>
                <w:sz w:val="22"/>
                <w:szCs w:val="22"/>
                <w:vertAlign w:val="subscript"/>
                <w:lang w:eastAsia="ja-JP"/>
              </w:rPr>
              <w:t xml:space="preserve">L </w:t>
            </w:r>
            <w:r w:rsidRPr="0095391C">
              <w:rPr>
                <w:rFonts w:asciiTheme="minorHAnsi" w:hAnsiTheme="minorHAnsi" w:cstheme="minorHAnsi"/>
                <w:sz w:val="22"/>
                <w:szCs w:val="22"/>
                <w:lang w:eastAsia="ja-JP"/>
              </w:rPr>
              <w:t>(L mg</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w:t>
            </w:r>
          </w:p>
        </w:tc>
        <w:tc>
          <w:tcPr>
            <w:tcW w:w="992" w:type="dxa"/>
            <w:tcBorders>
              <w:top w:val="single" w:sz="4" w:space="0" w:color="auto"/>
              <w:left w:val="nil"/>
              <w:bottom w:val="single" w:sz="4" w:space="0" w:color="auto"/>
              <w:right w:val="nil"/>
            </w:tcBorders>
            <w:shd w:val="clear" w:color="auto" w:fill="auto"/>
            <w:vAlign w:val="center"/>
            <w:hideMark/>
          </w:tcPr>
          <w:p w14:paraId="55133909"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R</w:t>
            </w:r>
            <w:r w:rsidRPr="0095391C">
              <w:rPr>
                <w:rFonts w:asciiTheme="minorHAnsi" w:hAnsiTheme="minorHAnsi" w:cstheme="minorHAnsi"/>
                <w:sz w:val="22"/>
                <w:szCs w:val="22"/>
                <w:vertAlign w:val="superscript"/>
                <w:lang w:eastAsia="ja-JP"/>
              </w:rPr>
              <w:t>2</w:t>
            </w:r>
          </w:p>
        </w:tc>
      </w:tr>
      <w:tr w:rsidR="00C54385" w:rsidRPr="0095391C" w14:paraId="02EFF3E9" w14:textId="77777777" w:rsidTr="00F5425F">
        <w:tc>
          <w:tcPr>
            <w:tcW w:w="1169" w:type="dxa"/>
            <w:vMerge/>
            <w:tcBorders>
              <w:top w:val="single" w:sz="4" w:space="0" w:color="auto"/>
              <w:left w:val="nil"/>
              <w:bottom w:val="single" w:sz="4" w:space="0" w:color="auto"/>
              <w:right w:val="nil"/>
            </w:tcBorders>
            <w:shd w:val="clear" w:color="auto" w:fill="auto"/>
            <w:vAlign w:val="center"/>
            <w:hideMark/>
          </w:tcPr>
          <w:p w14:paraId="0F098B12" w14:textId="77777777" w:rsidR="00C54385" w:rsidRPr="0095391C" w:rsidRDefault="00C54385">
            <w:pPr>
              <w:jc w:val="left"/>
              <w:rPr>
                <w:rFonts w:asciiTheme="minorHAnsi" w:hAnsiTheme="minorHAnsi" w:cstheme="minorHAnsi"/>
                <w:b/>
                <w:bCs/>
                <w:lang w:eastAsia="ja-JP"/>
              </w:rPr>
            </w:pPr>
          </w:p>
        </w:tc>
        <w:tc>
          <w:tcPr>
            <w:tcW w:w="2767" w:type="dxa"/>
            <w:shd w:val="clear" w:color="auto" w:fill="auto"/>
            <w:vAlign w:val="center"/>
            <w:hideMark/>
          </w:tcPr>
          <w:p w14:paraId="7C28F233" w14:textId="52E6C815" w:rsidR="00C54385" w:rsidRPr="0095391C" w:rsidRDefault="00C54385">
            <w:pPr>
              <w:pStyle w:val="Text"/>
              <w:ind w:firstLine="0"/>
              <w:rPr>
                <w:rFonts w:asciiTheme="minorHAnsi" w:hAnsiTheme="minorHAnsi" w:cstheme="minorHAnsi"/>
                <w:sz w:val="22"/>
                <w:szCs w:val="22"/>
                <w:lang w:eastAsia="ja-JP"/>
              </w:rPr>
            </w:pPr>
            <w:r w:rsidRPr="0095391C">
              <w:rPr>
                <w:rFonts w:asciiTheme="minorHAnsi" w:hAnsiTheme="minorHAnsi" w:cstheme="minorHAnsi"/>
                <w:sz w:val="22"/>
                <w:szCs w:val="22"/>
                <w:lang w:eastAsia="ja-JP"/>
              </w:rPr>
              <w:t>Inceptiols</w:t>
            </w:r>
          </w:p>
        </w:tc>
        <w:tc>
          <w:tcPr>
            <w:tcW w:w="1559" w:type="dxa"/>
            <w:shd w:val="clear" w:color="auto" w:fill="auto"/>
            <w:hideMark/>
          </w:tcPr>
          <w:p w14:paraId="49E0855D"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0.04</w:t>
            </w:r>
          </w:p>
        </w:tc>
        <w:tc>
          <w:tcPr>
            <w:tcW w:w="1134" w:type="dxa"/>
            <w:shd w:val="clear" w:color="auto" w:fill="auto"/>
            <w:hideMark/>
          </w:tcPr>
          <w:p w14:paraId="45691DC5"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0.074</w:t>
            </w:r>
          </w:p>
        </w:tc>
        <w:tc>
          <w:tcPr>
            <w:tcW w:w="992" w:type="dxa"/>
            <w:shd w:val="clear" w:color="auto" w:fill="auto"/>
            <w:hideMark/>
          </w:tcPr>
          <w:p w14:paraId="6CA7F85D"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0.25</w:t>
            </w:r>
          </w:p>
        </w:tc>
      </w:tr>
      <w:tr w:rsidR="00C54385" w:rsidRPr="0095391C" w14:paraId="2163A7B7" w14:textId="77777777" w:rsidTr="00F5425F">
        <w:tc>
          <w:tcPr>
            <w:tcW w:w="1169" w:type="dxa"/>
            <w:vMerge/>
            <w:tcBorders>
              <w:top w:val="single" w:sz="4" w:space="0" w:color="auto"/>
              <w:left w:val="nil"/>
              <w:bottom w:val="single" w:sz="4" w:space="0" w:color="auto"/>
              <w:right w:val="nil"/>
            </w:tcBorders>
            <w:shd w:val="clear" w:color="auto" w:fill="auto"/>
            <w:vAlign w:val="center"/>
            <w:hideMark/>
          </w:tcPr>
          <w:p w14:paraId="4A6CE951" w14:textId="77777777" w:rsidR="00C54385" w:rsidRPr="0095391C" w:rsidRDefault="00C54385">
            <w:pPr>
              <w:jc w:val="left"/>
              <w:rPr>
                <w:rFonts w:asciiTheme="minorHAnsi" w:hAnsiTheme="minorHAnsi" w:cstheme="minorHAnsi"/>
                <w:b/>
                <w:bCs/>
                <w:lang w:eastAsia="ja-JP"/>
              </w:rPr>
            </w:pPr>
          </w:p>
        </w:tc>
        <w:tc>
          <w:tcPr>
            <w:tcW w:w="2767" w:type="dxa"/>
            <w:tcBorders>
              <w:top w:val="nil"/>
              <w:left w:val="nil"/>
              <w:bottom w:val="single" w:sz="4" w:space="0" w:color="auto"/>
              <w:right w:val="nil"/>
            </w:tcBorders>
            <w:shd w:val="clear" w:color="auto" w:fill="auto"/>
            <w:vAlign w:val="center"/>
            <w:hideMark/>
          </w:tcPr>
          <w:p w14:paraId="4F3FA0B1" w14:textId="0083D9B1" w:rsidR="00C54385" w:rsidRPr="0095391C" w:rsidRDefault="00C54385">
            <w:pPr>
              <w:pStyle w:val="Text"/>
              <w:ind w:firstLine="0"/>
              <w:rPr>
                <w:rFonts w:asciiTheme="minorHAnsi" w:hAnsiTheme="minorHAnsi" w:cstheme="minorHAnsi"/>
                <w:sz w:val="22"/>
                <w:szCs w:val="22"/>
                <w:lang w:eastAsia="ja-JP"/>
              </w:rPr>
            </w:pPr>
            <w:r w:rsidRPr="0095391C">
              <w:rPr>
                <w:rFonts w:asciiTheme="minorHAnsi" w:hAnsiTheme="minorHAnsi" w:cstheme="minorHAnsi"/>
                <w:sz w:val="22"/>
                <w:szCs w:val="22"/>
                <w:lang w:eastAsia="ja-JP"/>
              </w:rPr>
              <w:t>Inceptisols + 40 t ha</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 xml:space="preserve"> RH</w:t>
            </w:r>
            <w:r w:rsidRPr="0095391C">
              <w:rPr>
                <w:rFonts w:asciiTheme="minorHAnsi" w:hAnsiTheme="minorHAnsi" w:cstheme="minorHAnsi"/>
                <w:sz w:val="22"/>
                <w:szCs w:val="22"/>
                <w:vertAlign w:val="subscript"/>
                <w:lang w:eastAsia="ja-JP"/>
              </w:rPr>
              <w:t>B</w:t>
            </w:r>
          </w:p>
        </w:tc>
        <w:tc>
          <w:tcPr>
            <w:tcW w:w="1559" w:type="dxa"/>
            <w:tcBorders>
              <w:top w:val="nil"/>
              <w:left w:val="nil"/>
              <w:bottom w:val="single" w:sz="4" w:space="0" w:color="auto"/>
              <w:right w:val="nil"/>
            </w:tcBorders>
            <w:shd w:val="clear" w:color="auto" w:fill="auto"/>
            <w:hideMark/>
          </w:tcPr>
          <w:p w14:paraId="57049618" w14:textId="77777777" w:rsidR="00C54385" w:rsidRPr="0095391C" w:rsidRDefault="00C54385">
            <w:pPr>
              <w:pStyle w:val="Text"/>
              <w:ind w:firstLine="0"/>
              <w:jc w:val="center"/>
              <w:rPr>
                <w:rFonts w:asciiTheme="minorHAnsi" w:hAnsiTheme="minorHAnsi" w:cstheme="minorHAnsi"/>
                <w:b/>
                <w:sz w:val="22"/>
                <w:szCs w:val="22"/>
                <w:lang w:eastAsia="ja-JP"/>
              </w:rPr>
            </w:pPr>
            <w:r w:rsidRPr="0095391C">
              <w:rPr>
                <w:rFonts w:asciiTheme="minorHAnsi" w:hAnsiTheme="minorHAnsi" w:cstheme="minorHAnsi"/>
                <w:b/>
                <w:sz w:val="22"/>
                <w:szCs w:val="22"/>
                <w:lang w:eastAsia="ja-JP"/>
              </w:rPr>
              <w:t>0.06</w:t>
            </w:r>
          </w:p>
        </w:tc>
        <w:tc>
          <w:tcPr>
            <w:tcW w:w="1134" w:type="dxa"/>
            <w:tcBorders>
              <w:top w:val="nil"/>
              <w:left w:val="nil"/>
              <w:bottom w:val="single" w:sz="4" w:space="0" w:color="auto"/>
              <w:right w:val="nil"/>
            </w:tcBorders>
            <w:shd w:val="clear" w:color="auto" w:fill="auto"/>
            <w:hideMark/>
          </w:tcPr>
          <w:p w14:paraId="65FEF0DB" w14:textId="77777777" w:rsidR="00C54385" w:rsidRPr="0095391C" w:rsidRDefault="00C54385">
            <w:pPr>
              <w:pStyle w:val="Text"/>
              <w:ind w:firstLine="0"/>
              <w:jc w:val="center"/>
              <w:rPr>
                <w:rFonts w:asciiTheme="minorHAnsi" w:hAnsiTheme="minorHAnsi" w:cstheme="minorHAnsi"/>
                <w:b/>
                <w:sz w:val="22"/>
                <w:szCs w:val="22"/>
                <w:lang w:eastAsia="ja-JP"/>
              </w:rPr>
            </w:pPr>
            <w:r w:rsidRPr="0095391C">
              <w:rPr>
                <w:rFonts w:asciiTheme="minorHAnsi" w:hAnsiTheme="minorHAnsi" w:cstheme="minorHAnsi"/>
                <w:b/>
                <w:sz w:val="22"/>
                <w:szCs w:val="22"/>
                <w:lang w:eastAsia="ja-JP"/>
              </w:rPr>
              <w:t xml:space="preserve">0.068 </w:t>
            </w:r>
          </w:p>
        </w:tc>
        <w:tc>
          <w:tcPr>
            <w:tcW w:w="992" w:type="dxa"/>
            <w:tcBorders>
              <w:top w:val="nil"/>
              <w:left w:val="nil"/>
              <w:bottom w:val="single" w:sz="4" w:space="0" w:color="auto"/>
              <w:right w:val="nil"/>
            </w:tcBorders>
            <w:shd w:val="clear" w:color="auto" w:fill="auto"/>
            <w:hideMark/>
          </w:tcPr>
          <w:p w14:paraId="006AEF1C" w14:textId="77777777" w:rsidR="00C54385" w:rsidRPr="0095391C" w:rsidRDefault="00C54385">
            <w:pPr>
              <w:pStyle w:val="Text"/>
              <w:ind w:firstLine="0"/>
              <w:jc w:val="center"/>
              <w:rPr>
                <w:rFonts w:asciiTheme="minorHAnsi" w:hAnsiTheme="minorHAnsi" w:cstheme="minorHAnsi"/>
                <w:b/>
                <w:sz w:val="22"/>
                <w:szCs w:val="22"/>
                <w:lang w:eastAsia="ja-JP"/>
              </w:rPr>
            </w:pPr>
            <w:r w:rsidRPr="0095391C">
              <w:rPr>
                <w:rFonts w:asciiTheme="minorHAnsi" w:hAnsiTheme="minorHAnsi" w:cstheme="minorHAnsi"/>
                <w:b/>
                <w:sz w:val="22"/>
                <w:szCs w:val="22"/>
                <w:lang w:eastAsia="ja-JP"/>
              </w:rPr>
              <w:t>0.27</w:t>
            </w:r>
          </w:p>
        </w:tc>
      </w:tr>
      <w:tr w:rsidR="00C54385" w:rsidRPr="0095391C" w14:paraId="1B809489" w14:textId="77777777" w:rsidTr="00F5425F">
        <w:tc>
          <w:tcPr>
            <w:tcW w:w="1169" w:type="dxa"/>
            <w:vMerge w:val="restart"/>
            <w:tcBorders>
              <w:top w:val="single" w:sz="4" w:space="0" w:color="auto"/>
              <w:left w:val="nil"/>
              <w:bottom w:val="single" w:sz="4" w:space="0" w:color="auto"/>
              <w:right w:val="nil"/>
            </w:tcBorders>
            <w:shd w:val="clear" w:color="auto" w:fill="auto"/>
            <w:hideMark/>
          </w:tcPr>
          <w:p w14:paraId="0725E736"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Freundlich</w:t>
            </w:r>
          </w:p>
        </w:tc>
        <w:tc>
          <w:tcPr>
            <w:tcW w:w="2767" w:type="dxa"/>
            <w:tcBorders>
              <w:top w:val="single" w:sz="4" w:space="0" w:color="auto"/>
              <w:left w:val="nil"/>
              <w:bottom w:val="single" w:sz="4" w:space="0" w:color="auto"/>
              <w:right w:val="nil"/>
            </w:tcBorders>
            <w:shd w:val="clear" w:color="auto" w:fill="auto"/>
            <w:vAlign w:val="center"/>
          </w:tcPr>
          <w:p w14:paraId="5423A56C" w14:textId="77777777" w:rsidR="00C54385" w:rsidRPr="0095391C" w:rsidRDefault="00C54385">
            <w:pPr>
              <w:pStyle w:val="Text"/>
              <w:ind w:firstLine="0"/>
              <w:jc w:val="center"/>
              <w:rPr>
                <w:rFonts w:asciiTheme="minorHAnsi" w:hAnsiTheme="minorHAnsi" w:cstheme="minorHAnsi"/>
                <w:sz w:val="22"/>
                <w:szCs w:val="22"/>
                <w:lang w:eastAsia="ja-JP"/>
              </w:rPr>
            </w:pPr>
          </w:p>
        </w:tc>
        <w:tc>
          <w:tcPr>
            <w:tcW w:w="1559" w:type="dxa"/>
            <w:tcBorders>
              <w:top w:val="single" w:sz="4" w:space="0" w:color="auto"/>
              <w:left w:val="nil"/>
              <w:bottom w:val="single" w:sz="4" w:space="0" w:color="auto"/>
              <w:right w:val="nil"/>
            </w:tcBorders>
            <w:shd w:val="clear" w:color="auto" w:fill="auto"/>
            <w:vAlign w:val="center"/>
            <w:hideMark/>
          </w:tcPr>
          <w:p w14:paraId="768DF52A"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 xml:space="preserve">n </w:t>
            </w:r>
          </w:p>
        </w:tc>
        <w:tc>
          <w:tcPr>
            <w:tcW w:w="1134" w:type="dxa"/>
            <w:tcBorders>
              <w:top w:val="single" w:sz="4" w:space="0" w:color="auto"/>
              <w:left w:val="nil"/>
              <w:bottom w:val="single" w:sz="4" w:space="0" w:color="auto"/>
              <w:right w:val="nil"/>
            </w:tcBorders>
            <w:shd w:val="clear" w:color="auto" w:fill="auto"/>
            <w:vAlign w:val="center"/>
            <w:hideMark/>
          </w:tcPr>
          <w:p w14:paraId="3F033515"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K</w:t>
            </w:r>
            <w:r w:rsidRPr="0095391C">
              <w:rPr>
                <w:rFonts w:asciiTheme="minorHAnsi" w:hAnsiTheme="minorHAnsi" w:cstheme="minorHAnsi"/>
                <w:sz w:val="22"/>
                <w:szCs w:val="22"/>
                <w:vertAlign w:val="subscript"/>
                <w:lang w:eastAsia="ja-JP"/>
              </w:rPr>
              <w:t xml:space="preserve">F </w:t>
            </w:r>
            <w:r w:rsidRPr="0095391C">
              <w:rPr>
                <w:rFonts w:asciiTheme="minorHAnsi" w:hAnsiTheme="minorHAnsi" w:cstheme="minorHAnsi"/>
                <w:sz w:val="22"/>
                <w:szCs w:val="22"/>
                <w:lang w:eastAsia="ja-JP"/>
              </w:rPr>
              <w:t>(mg g</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w:t>
            </w:r>
          </w:p>
          <w:p w14:paraId="791844F6"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(L mg</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w:t>
            </w:r>
            <w:r w:rsidRPr="0095391C">
              <w:rPr>
                <w:rFonts w:asciiTheme="minorHAnsi" w:hAnsiTheme="minorHAnsi" w:cstheme="minorHAnsi"/>
                <w:sz w:val="22"/>
                <w:szCs w:val="22"/>
                <w:vertAlign w:val="superscript"/>
                <w:lang w:eastAsia="ja-JP"/>
              </w:rPr>
              <w:t>1/n</w:t>
            </w:r>
          </w:p>
        </w:tc>
        <w:tc>
          <w:tcPr>
            <w:tcW w:w="992" w:type="dxa"/>
            <w:tcBorders>
              <w:top w:val="single" w:sz="4" w:space="0" w:color="auto"/>
              <w:left w:val="nil"/>
              <w:bottom w:val="single" w:sz="4" w:space="0" w:color="auto"/>
              <w:right w:val="nil"/>
            </w:tcBorders>
            <w:shd w:val="clear" w:color="auto" w:fill="auto"/>
            <w:vAlign w:val="center"/>
            <w:hideMark/>
          </w:tcPr>
          <w:p w14:paraId="331A8582"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R</w:t>
            </w:r>
            <w:r w:rsidRPr="0095391C">
              <w:rPr>
                <w:rFonts w:asciiTheme="minorHAnsi" w:hAnsiTheme="minorHAnsi" w:cstheme="minorHAnsi"/>
                <w:sz w:val="22"/>
                <w:szCs w:val="22"/>
                <w:vertAlign w:val="superscript"/>
                <w:lang w:eastAsia="ja-JP"/>
              </w:rPr>
              <w:t>2</w:t>
            </w:r>
          </w:p>
        </w:tc>
      </w:tr>
      <w:tr w:rsidR="00C54385" w:rsidRPr="0095391C" w14:paraId="342E6BC4" w14:textId="77777777" w:rsidTr="00F5425F">
        <w:tc>
          <w:tcPr>
            <w:tcW w:w="1169" w:type="dxa"/>
            <w:vMerge/>
            <w:tcBorders>
              <w:top w:val="single" w:sz="4" w:space="0" w:color="auto"/>
              <w:left w:val="nil"/>
              <w:bottom w:val="single" w:sz="4" w:space="0" w:color="auto"/>
              <w:right w:val="nil"/>
            </w:tcBorders>
            <w:shd w:val="clear" w:color="auto" w:fill="auto"/>
            <w:vAlign w:val="center"/>
            <w:hideMark/>
          </w:tcPr>
          <w:p w14:paraId="2ECF0A1C" w14:textId="77777777" w:rsidR="00C54385" w:rsidRPr="0095391C" w:rsidRDefault="00C54385">
            <w:pPr>
              <w:jc w:val="left"/>
              <w:rPr>
                <w:rFonts w:asciiTheme="minorHAnsi" w:hAnsiTheme="minorHAnsi" w:cstheme="minorHAnsi"/>
                <w:b/>
                <w:bCs/>
                <w:lang w:eastAsia="ja-JP"/>
              </w:rPr>
            </w:pPr>
          </w:p>
        </w:tc>
        <w:tc>
          <w:tcPr>
            <w:tcW w:w="2767" w:type="dxa"/>
            <w:shd w:val="clear" w:color="auto" w:fill="auto"/>
            <w:vAlign w:val="center"/>
            <w:hideMark/>
          </w:tcPr>
          <w:p w14:paraId="57C3B2CE" w14:textId="3D2B90AB" w:rsidR="00C54385" w:rsidRPr="0095391C" w:rsidRDefault="00C54385">
            <w:pPr>
              <w:pStyle w:val="Text"/>
              <w:ind w:firstLine="0"/>
              <w:rPr>
                <w:rFonts w:asciiTheme="minorHAnsi" w:hAnsiTheme="minorHAnsi" w:cstheme="minorHAnsi"/>
                <w:sz w:val="22"/>
                <w:szCs w:val="22"/>
                <w:lang w:eastAsia="ja-JP"/>
              </w:rPr>
            </w:pPr>
            <w:r w:rsidRPr="0095391C">
              <w:rPr>
                <w:rFonts w:asciiTheme="minorHAnsi" w:hAnsiTheme="minorHAnsi" w:cstheme="minorHAnsi"/>
                <w:sz w:val="22"/>
                <w:szCs w:val="22"/>
                <w:lang w:eastAsia="ja-JP"/>
              </w:rPr>
              <w:t>Inceptiols</w:t>
            </w:r>
          </w:p>
        </w:tc>
        <w:tc>
          <w:tcPr>
            <w:tcW w:w="1559" w:type="dxa"/>
            <w:shd w:val="clear" w:color="auto" w:fill="auto"/>
            <w:hideMark/>
          </w:tcPr>
          <w:p w14:paraId="09AF727D"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1.03</w:t>
            </w:r>
          </w:p>
        </w:tc>
        <w:tc>
          <w:tcPr>
            <w:tcW w:w="1134" w:type="dxa"/>
            <w:shd w:val="clear" w:color="auto" w:fill="auto"/>
            <w:hideMark/>
          </w:tcPr>
          <w:p w14:paraId="2AC7DD3C"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48.81</w:t>
            </w:r>
          </w:p>
        </w:tc>
        <w:tc>
          <w:tcPr>
            <w:tcW w:w="992" w:type="dxa"/>
            <w:shd w:val="clear" w:color="auto" w:fill="auto"/>
            <w:hideMark/>
          </w:tcPr>
          <w:p w14:paraId="507F06A3" w14:textId="77777777" w:rsidR="00C54385" w:rsidRPr="0095391C" w:rsidRDefault="00C54385">
            <w:pPr>
              <w:pStyle w:val="Text"/>
              <w:ind w:firstLine="0"/>
              <w:jc w:val="center"/>
              <w:rPr>
                <w:rFonts w:asciiTheme="minorHAnsi" w:hAnsiTheme="minorHAnsi" w:cstheme="minorHAnsi"/>
                <w:sz w:val="22"/>
                <w:szCs w:val="22"/>
                <w:lang w:eastAsia="ja-JP"/>
              </w:rPr>
            </w:pPr>
            <w:r w:rsidRPr="0095391C">
              <w:rPr>
                <w:rFonts w:asciiTheme="minorHAnsi" w:hAnsiTheme="minorHAnsi" w:cstheme="minorHAnsi"/>
                <w:sz w:val="22"/>
                <w:szCs w:val="22"/>
                <w:lang w:eastAsia="ja-JP"/>
              </w:rPr>
              <w:t>0.19</w:t>
            </w:r>
          </w:p>
        </w:tc>
      </w:tr>
      <w:tr w:rsidR="00C54385" w:rsidRPr="0095391C" w14:paraId="60FD13A9" w14:textId="77777777" w:rsidTr="00F5425F">
        <w:tc>
          <w:tcPr>
            <w:tcW w:w="1169" w:type="dxa"/>
            <w:vMerge/>
            <w:tcBorders>
              <w:top w:val="single" w:sz="4" w:space="0" w:color="auto"/>
              <w:left w:val="nil"/>
              <w:bottom w:val="single" w:sz="4" w:space="0" w:color="auto"/>
              <w:right w:val="nil"/>
            </w:tcBorders>
            <w:shd w:val="clear" w:color="auto" w:fill="auto"/>
            <w:vAlign w:val="center"/>
            <w:hideMark/>
          </w:tcPr>
          <w:p w14:paraId="73E8FBCB" w14:textId="77777777" w:rsidR="00C54385" w:rsidRPr="0095391C" w:rsidRDefault="00C54385">
            <w:pPr>
              <w:jc w:val="left"/>
              <w:rPr>
                <w:rFonts w:asciiTheme="minorHAnsi" w:hAnsiTheme="minorHAnsi" w:cstheme="minorHAnsi"/>
                <w:b/>
                <w:bCs/>
                <w:lang w:eastAsia="ja-JP"/>
              </w:rPr>
            </w:pPr>
          </w:p>
        </w:tc>
        <w:tc>
          <w:tcPr>
            <w:tcW w:w="2767" w:type="dxa"/>
            <w:tcBorders>
              <w:top w:val="nil"/>
              <w:left w:val="nil"/>
              <w:bottom w:val="single" w:sz="4" w:space="0" w:color="auto"/>
              <w:right w:val="nil"/>
            </w:tcBorders>
            <w:shd w:val="clear" w:color="auto" w:fill="auto"/>
            <w:vAlign w:val="center"/>
            <w:hideMark/>
          </w:tcPr>
          <w:p w14:paraId="4C10806C" w14:textId="4EB9D322" w:rsidR="00C54385" w:rsidRPr="0095391C" w:rsidRDefault="00C54385">
            <w:pPr>
              <w:pStyle w:val="Text"/>
              <w:ind w:firstLine="0"/>
              <w:rPr>
                <w:rFonts w:asciiTheme="minorHAnsi" w:hAnsiTheme="minorHAnsi" w:cstheme="minorHAnsi"/>
                <w:sz w:val="22"/>
                <w:szCs w:val="22"/>
                <w:lang w:eastAsia="ja-JP"/>
              </w:rPr>
            </w:pPr>
            <w:r w:rsidRPr="0095391C">
              <w:rPr>
                <w:rFonts w:asciiTheme="minorHAnsi" w:hAnsiTheme="minorHAnsi" w:cstheme="minorHAnsi"/>
                <w:sz w:val="22"/>
                <w:szCs w:val="22"/>
                <w:lang w:eastAsia="ja-JP"/>
              </w:rPr>
              <w:t>Inceptisols + 40 t ha</w:t>
            </w:r>
            <w:r w:rsidRPr="0095391C">
              <w:rPr>
                <w:rFonts w:asciiTheme="minorHAnsi" w:hAnsiTheme="minorHAnsi" w:cstheme="minorHAnsi"/>
                <w:sz w:val="22"/>
                <w:szCs w:val="22"/>
                <w:vertAlign w:val="superscript"/>
                <w:lang w:eastAsia="ja-JP"/>
              </w:rPr>
              <w:t>-1</w:t>
            </w:r>
            <w:r w:rsidRPr="0095391C">
              <w:rPr>
                <w:rFonts w:asciiTheme="minorHAnsi" w:hAnsiTheme="minorHAnsi" w:cstheme="minorHAnsi"/>
                <w:sz w:val="22"/>
                <w:szCs w:val="22"/>
                <w:lang w:eastAsia="ja-JP"/>
              </w:rPr>
              <w:t xml:space="preserve"> RH</w:t>
            </w:r>
            <w:r w:rsidRPr="0095391C">
              <w:rPr>
                <w:rFonts w:asciiTheme="minorHAnsi" w:hAnsiTheme="minorHAnsi" w:cstheme="minorHAnsi"/>
                <w:sz w:val="22"/>
                <w:szCs w:val="22"/>
                <w:vertAlign w:val="subscript"/>
                <w:lang w:eastAsia="ja-JP"/>
              </w:rPr>
              <w:t>B</w:t>
            </w:r>
          </w:p>
        </w:tc>
        <w:tc>
          <w:tcPr>
            <w:tcW w:w="1559" w:type="dxa"/>
            <w:tcBorders>
              <w:top w:val="nil"/>
              <w:left w:val="nil"/>
              <w:bottom w:val="single" w:sz="4" w:space="0" w:color="auto"/>
              <w:right w:val="nil"/>
            </w:tcBorders>
            <w:shd w:val="clear" w:color="auto" w:fill="auto"/>
            <w:hideMark/>
          </w:tcPr>
          <w:p w14:paraId="301B9BCF" w14:textId="77777777" w:rsidR="00C54385" w:rsidRPr="0095391C" w:rsidRDefault="00C54385">
            <w:pPr>
              <w:pStyle w:val="Text"/>
              <w:ind w:firstLine="0"/>
              <w:jc w:val="center"/>
              <w:rPr>
                <w:rFonts w:asciiTheme="minorHAnsi" w:hAnsiTheme="minorHAnsi" w:cstheme="minorHAnsi"/>
                <w:b/>
                <w:sz w:val="22"/>
                <w:szCs w:val="22"/>
                <w:lang w:eastAsia="ja-JP"/>
              </w:rPr>
            </w:pPr>
            <w:r w:rsidRPr="0095391C">
              <w:rPr>
                <w:rFonts w:asciiTheme="minorHAnsi" w:hAnsiTheme="minorHAnsi" w:cstheme="minorHAnsi"/>
                <w:b/>
                <w:sz w:val="22"/>
                <w:szCs w:val="22"/>
                <w:lang w:eastAsia="ja-JP"/>
              </w:rPr>
              <w:t>1.00</w:t>
            </w:r>
          </w:p>
        </w:tc>
        <w:tc>
          <w:tcPr>
            <w:tcW w:w="1134" w:type="dxa"/>
            <w:tcBorders>
              <w:top w:val="nil"/>
              <w:left w:val="nil"/>
              <w:bottom w:val="single" w:sz="4" w:space="0" w:color="auto"/>
              <w:right w:val="nil"/>
            </w:tcBorders>
            <w:shd w:val="clear" w:color="auto" w:fill="auto"/>
            <w:hideMark/>
          </w:tcPr>
          <w:p w14:paraId="2E350F3E" w14:textId="77777777" w:rsidR="00C54385" w:rsidRPr="0095391C" w:rsidRDefault="00C54385">
            <w:pPr>
              <w:pStyle w:val="Text"/>
              <w:ind w:firstLine="0"/>
              <w:jc w:val="center"/>
              <w:rPr>
                <w:rFonts w:asciiTheme="minorHAnsi" w:hAnsiTheme="minorHAnsi" w:cstheme="minorHAnsi"/>
                <w:b/>
                <w:sz w:val="22"/>
                <w:szCs w:val="22"/>
                <w:lang w:eastAsia="ja-JP"/>
              </w:rPr>
            </w:pPr>
            <w:r w:rsidRPr="0095391C">
              <w:rPr>
                <w:rFonts w:asciiTheme="minorHAnsi" w:hAnsiTheme="minorHAnsi" w:cstheme="minorHAnsi"/>
                <w:b/>
                <w:sz w:val="22"/>
                <w:szCs w:val="22"/>
                <w:lang w:eastAsia="ja-JP"/>
              </w:rPr>
              <w:t>42.94</w:t>
            </w:r>
          </w:p>
        </w:tc>
        <w:tc>
          <w:tcPr>
            <w:tcW w:w="992" w:type="dxa"/>
            <w:tcBorders>
              <w:top w:val="nil"/>
              <w:left w:val="nil"/>
              <w:bottom w:val="single" w:sz="4" w:space="0" w:color="auto"/>
              <w:right w:val="nil"/>
            </w:tcBorders>
            <w:shd w:val="clear" w:color="auto" w:fill="auto"/>
            <w:hideMark/>
          </w:tcPr>
          <w:p w14:paraId="44969C75" w14:textId="77777777" w:rsidR="00C54385" w:rsidRPr="0095391C" w:rsidRDefault="00C54385">
            <w:pPr>
              <w:pStyle w:val="Text"/>
              <w:ind w:firstLine="0"/>
              <w:jc w:val="center"/>
              <w:rPr>
                <w:rFonts w:asciiTheme="minorHAnsi" w:hAnsiTheme="minorHAnsi" w:cstheme="minorHAnsi"/>
                <w:b/>
                <w:sz w:val="22"/>
                <w:szCs w:val="22"/>
                <w:lang w:eastAsia="ja-JP"/>
              </w:rPr>
            </w:pPr>
            <w:r w:rsidRPr="0095391C">
              <w:rPr>
                <w:rFonts w:asciiTheme="minorHAnsi" w:hAnsiTheme="minorHAnsi" w:cstheme="minorHAnsi"/>
                <w:b/>
                <w:sz w:val="22"/>
                <w:szCs w:val="22"/>
                <w:lang w:eastAsia="ja-JP"/>
              </w:rPr>
              <w:t>0.21</w:t>
            </w:r>
          </w:p>
        </w:tc>
      </w:tr>
    </w:tbl>
    <w:p w14:paraId="682FE09D" w14:textId="56360B71" w:rsidR="00277B50" w:rsidRPr="0095391C" w:rsidRDefault="00C54385" w:rsidP="00F87315">
      <w:pPr>
        <w:pStyle w:val="Text"/>
        <w:ind w:left="851" w:hanging="851"/>
        <w:rPr>
          <w:rFonts w:asciiTheme="minorHAnsi" w:hAnsiTheme="minorHAnsi" w:cstheme="minorHAnsi"/>
          <w:sz w:val="22"/>
          <w:szCs w:val="22"/>
          <w:vertAlign w:val="superscript"/>
        </w:rPr>
      </w:pPr>
      <w:r w:rsidRPr="0095391C">
        <w:rPr>
          <w:rFonts w:asciiTheme="minorHAnsi" w:hAnsiTheme="minorHAnsi" w:cstheme="minorHAnsi"/>
          <w:sz w:val="22"/>
          <w:szCs w:val="22"/>
        </w:rPr>
        <w:t>Remaks : Q</w:t>
      </w:r>
      <w:r w:rsidRPr="0095391C">
        <w:rPr>
          <w:rFonts w:asciiTheme="minorHAnsi" w:hAnsiTheme="minorHAnsi" w:cstheme="minorHAnsi"/>
          <w:sz w:val="22"/>
          <w:szCs w:val="22"/>
          <w:vertAlign w:val="subscript"/>
        </w:rPr>
        <w:t>m</w:t>
      </w:r>
      <w:r w:rsidRPr="0095391C">
        <w:rPr>
          <w:rFonts w:asciiTheme="minorHAnsi" w:hAnsiTheme="minorHAnsi" w:cstheme="minorHAnsi"/>
          <w:sz w:val="22"/>
          <w:szCs w:val="22"/>
        </w:rPr>
        <w:t xml:space="preserve"> = 1/b; K</w:t>
      </w:r>
      <w:r w:rsidRPr="0095391C">
        <w:rPr>
          <w:rFonts w:asciiTheme="minorHAnsi" w:hAnsiTheme="minorHAnsi" w:cstheme="minorHAnsi"/>
          <w:sz w:val="22"/>
          <w:szCs w:val="22"/>
          <w:vertAlign w:val="subscript"/>
        </w:rPr>
        <w:t>L</w:t>
      </w:r>
      <w:r w:rsidRPr="0095391C">
        <w:rPr>
          <w:rFonts w:asciiTheme="minorHAnsi" w:hAnsiTheme="minorHAnsi" w:cstheme="minorHAnsi"/>
          <w:sz w:val="22"/>
          <w:szCs w:val="22"/>
        </w:rPr>
        <w:t xml:space="preserve"> = (1/a)/Q</w:t>
      </w:r>
      <w:r w:rsidRPr="0095391C">
        <w:rPr>
          <w:rFonts w:asciiTheme="minorHAnsi" w:hAnsiTheme="minorHAnsi" w:cstheme="minorHAnsi"/>
          <w:sz w:val="22"/>
          <w:szCs w:val="22"/>
          <w:vertAlign w:val="subscript"/>
        </w:rPr>
        <w:t>m</w:t>
      </w:r>
      <w:r w:rsidRPr="0095391C">
        <w:rPr>
          <w:rFonts w:asciiTheme="minorHAnsi" w:hAnsiTheme="minorHAnsi" w:cstheme="minorHAnsi"/>
          <w:sz w:val="22"/>
          <w:szCs w:val="22"/>
        </w:rPr>
        <w:t>; n = 1/b; K</w:t>
      </w:r>
      <w:r w:rsidRPr="0095391C">
        <w:rPr>
          <w:rFonts w:asciiTheme="minorHAnsi" w:hAnsiTheme="minorHAnsi" w:cstheme="minorHAnsi"/>
          <w:sz w:val="22"/>
          <w:szCs w:val="22"/>
          <w:vertAlign w:val="subscript"/>
        </w:rPr>
        <w:t>F</w:t>
      </w:r>
      <w:r w:rsidRPr="0095391C">
        <w:rPr>
          <w:rFonts w:asciiTheme="minorHAnsi" w:hAnsiTheme="minorHAnsi" w:cstheme="minorHAnsi"/>
          <w:sz w:val="22"/>
          <w:szCs w:val="22"/>
        </w:rPr>
        <w:t xml:space="preserve"> = 10</w:t>
      </w:r>
      <w:r w:rsidRPr="0095391C">
        <w:rPr>
          <w:rFonts w:asciiTheme="minorHAnsi" w:hAnsiTheme="minorHAnsi" w:cstheme="minorHAnsi"/>
          <w:sz w:val="22"/>
          <w:szCs w:val="22"/>
          <w:vertAlign w:val="superscript"/>
        </w:rPr>
        <w:t>a</w:t>
      </w:r>
    </w:p>
    <w:p w14:paraId="7286AC88" w14:textId="77777777" w:rsidR="00035F41" w:rsidRPr="0095391C" w:rsidRDefault="00FA7473" w:rsidP="00035F41">
      <w:pPr>
        <w:pStyle w:val="BodyText"/>
        <w:spacing w:beforeLines="0" w:after="0" w:line="276" w:lineRule="auto"/>
        <w:rPr>
          <w:rFonts w:ascii="Calibri" w:hAnsi="Calibri" w:cs="Calibri"/>
          <w:b/>
          <w:bCs w:val="0"/>
          <w:sz w:val="22"/>
        </w:rPr>
      </w:pPr>
      <w:r w:rsidRPr="0095391C">
        <w:rPr>
          <w:rFonts w:ascii="Calibri" w:hAnsi="Calibri" w:cs="Calibri"/>
          <w:b/>
          <w:bCs w:val="0"/>
          <w:sz w:val="22"/>
        </w:rPr>
        <w:lastRenderedPageBreak/>
        <w:t>DISCUSSION</w:t>
      </w:r>
    </w:p>
    <w:p w14:paraId="57C6D2D5" w14:textId="0D90E6ED" w:rsidR="00035F41" w:rsidRPr="0095391C" w:rsidRDefault="00035F41" w:rsidP="00035F41">
      <w:pPr>
        <w:pStyle w:val="BodyText"/>
        <w:spacing w:beforeLines="0" w:after="0" w:line="276" w:lineRule="auto"/>
        <w:rPr>
          <w:rFonts w:ascii="Calibri" w:hAnsi="Calibri" w:cs="Calibri"/>
          <w:bCs w:val="0"/>
          <w:sz w:val="22"/>
        </w:rPr>
      </w:pPr>
      <w:r w:rsidRPr="0095391C">
        <w:rPr>
          <w:rFonts w:ascii="Calibri" w:hAnsi="Calibri" w:cs="Calibri"/>
          <w:bCs w:val="0"/>
          <w:sz w:val="22"/>
        </w:rPr>
        <w:t>The characteristics of the charge activity of Inceptisols and amendments with 40 t ha</w:t>
      </w:r>
      <w:r w:rsidRPr="0095391C">
        <w:rPr>
          <w:rFonts w:ascii="Calibri" w:hAnsi="Calibri" w:cs="Calibri"/>
          <w:bCs w:val="0"/>
          <w:sz w:val="22"/>
          <w:vertAlign w:val="superscript"/>
        </w:rPr>
        <w:t>-1</w:t>
      </w:r>
      <w:r w:rsidRPr="0095391C">
        <w:rPr>
          <w:rFonts w:ascii="Calibri" w:hAnsi="Calibri" w:cs="Calibri"/>
          <w:bCs w:val="0"/>
          <w:sz w:val="22"/>
        </w:rPr>
        <w:t xml:space="preserve"> RH</w:t>
      </w:r>
      <w:r w:rsidRPr="0095391C">
        <w:rPr>
          <w:rFonts w:ascii="Calibri" w:hAnsi="Calibri" w:cs="Calibri"/>
          <w:bCs w:val="0"/>
          <w:sz w:val="22"/>
          <w:vertAlign w:val="subscript"/>
        </w:rPr>
        <w:t>B</w:t>
      </w:r>
      <w:r w:rsidRPr="0095391C">
        <w:rPr>
          <w:rFonts w:ascii="Calibri" w:hAnsi="Calibri" w:cs="Calibri"/>
          <w:bCs w:val="0"/>
          <w:sz w:val="22"/>
        </w:rPr>
        <w:t xml:space="preserve"> are shown in table 2, where clay is the main component of negative charge on clay minerals (Preocanin et al., 2016). The increase in soil pH and CEC due to RH</w:t>
      </w:r>
      <w:r w:rsidRPr="0095391C">
        <w:rPr>
          <w:rFonts w:ascii="Calibri" w:hAnsi="Calibri" w:cs="Calibri"/>
          <w:bCs w:val="0"/>
          <w:sz w:val="22"/>
          <w:vertAlign w:val="subscript"/>
        </w:rPr>
        <w:t>B</w:t>
      </w:r>
      <w:r w:rsidRPr="0095391C">
        <w:rPr>
          <w:rFonts w:ascii="Calibri" w:hAnsi="Calibri" w:cs="Calibri"/>
          <w:bCs w:val="0"/>
          <w:sz w:val="22"/>
        </w:rPr>
        <w:t xml:space="preserve"> administration through amlioration technology occurs due to the influence of OH ions donated by RHB to the soil and according to Mindari et al., (2014) that the complexation of H</w:t>
      </w:r>
      <w:r w:rsidRPr="0095391C">
        <w:rPr>
          <w:rFonts w:ascii="Calibri" w:hAnsi="Calibri" w:cs="Calibri"/>
          <w:bCs w:val="0"/>
          <w:sz w:val="22"/>
          <w:vertAlign w:val="superscript"/>
        </w:rPr>
        <w:t>+</w:t>
      </w:r>
      <w:r w:rsidRPr="0095391C">
        <w:rPr>
          <w:rFonts w:ascii="Calibri" w:hAnsi="Calibri" w:cs="Calibri"/>
          <w:bCs w:val="0"/>
          <w:sz w:val="22"/>
        </w:rPr>
        <w:t xml:space="preserve"> and OH</w:t>
      </w:r>
      <w:r w:rsidRPr="0095391C">
        <w:rPr>
          <w:rFonts w:ascii="Calibri" w:hAnsi="Calibri" w:cs="Calibri"/>
          <w:bCs w:val="0"/>
          <w:sz w:val="22"/>
          <w:vertAlign w:val="superscript"/>
        </w:rPr>
        <w:t>-</w:t>
      </w:r>
      <w:r w:rsidRPr="0095391C">
        <w:rPr>
          <w:rFonts w:ascii="Calibri" w:hAnsi="Calibri" w:cs="Calibri"/>
          <w:bCs w:val="0"/>
          <w:sz w:val="22"/>
        </w:rPr>
        <w:t xml:space="preserve"> on the surface of soil particles can affect the absorption of other cations and anions. On the other hand, there is an increase in EC where According to Aydin et al., (2012) that the increase in EC in the soil by RHB carries a negative charge, so it can move in an electric field externally with an increase in single charged ions that cause an electric field. Changes in the electrochemical properties of clays are closely related to the amount of aluminum hydroxy complexes incorporated in the clays and their chemical composition and charge properties. Many hydroxy-AI species are known to exist in partially neutralized Al ion solutions used to coat clays and their loads can vary. The effect of the number of interlayers on the cation exchange capacity affects the zero charge point on each adsorbant used in the adsorption process.</w:t>
      </w:r>
    </w:p>
    <w:p w14:paraId="2D4A3007" w14:textId="46E4DD79" w:rsidR="006D28B0" w:rsidRPr="0095391C" w:rsidRDefault="006D28B0" w:rsidP="006D28B0">
      <w:pPr>
        <w:pStyle w:val="BodyText"/>
        <w:spacing w:beforeLines="0" w:after="0" w:line="276" w:lineRule="auto"/>
        <w:rPr>
          <w:rFonts w:ascii="Calibri" w:hAnsi="Calibri" w:cs="Calibri"/>
          <w:bCs w:val="0"/>
          <w:sz w:val="22"/>
        </w:rPr>
      </w:pPr>
      <w:r w:rsidRPr="0095391C">
        <w:rPr>
          <w:rFonts w:ascii="Calibri" w:hAnsi="Calibri" w:cs="Calibri"/>
          <w:bCs w:val="0"/>
          <w:sz w:val="22"/>
        </w:rPr>
        <w:t>This charge activity becomes very important in the adsorption process to determine the type of charge on the ameliorant surface at a certain pH and its interaction with pollutants (pesticides). Analysis of the pHpzc value is also important to determine the optimal pH range for the adsorption process, where pH</w:t>
      </w:r>
      <w:r w:rsidRPr="0095391C">
        <w:rPr>
          <w:rFonts w:ascii="Calibri" w:hAnsi="Calibri" w:cs="Calibri"/>
          <w:bCs w:val="0"/>
          <w:sz w:val="22"/>
          <w:vertAlign w:val="subscript"/>
        </w:rPr>
        <w:t>PZC</w:t>
      </w:r>
      <w:r w:rsidRPr="0095391C">
        <w:rPr>
          <w:rFonts w:ascii="Calibri" w:hAnsi="Calibri" w:cs="Calibri"/>
          <w:bCs w:val="0"/>
          <w:sz w:val="22"/>
        </w:rPr>
        <w:t xml:space="preserve"> describes the surface charge of the ameliorant at an active pH above pHPZC (pH H</w:t>
      </w:r>
      <w:r w:rsidRPr="0095391C">
        <w:rPr>
          <w:rFonts w:ascii="Calibri" w:hAnsi="Calibri" w:cs="Calibri"/>
          <w:bCs w:val="0"/>
          <w:sz w:val="22"/>
          <w:vertAlign w:val="subscript"/>
        </w:rPr>
        <w:t>2</w:t>
      </w:r>
      <w:r w:rsidRPr="0095391C">
        <w:rPr>
          <w:rFonts w:ascii="Calibri" w:hAnsi="Calibri" w:cs="Calibri"/>
          <w:bCs w:val="0"/>
          <w:sz w:val="22"/>
        </w:rPr>
        <w:t>O &gt; pH</w:t>
      </w:r>
      <w:r w:rsidRPr="0095391C">
        <w:rPr>
          <w:rFonts w:ascii="Calibri" w:hAnsi="Calibri" w:cs="Calibri"/>
          <w:bCs w:val="0"/>
          <w:sz w:val="22"/>
          <w:vertAlign w:val="subscript"/>
        </w:rPr>
        <w:t>PZC</w:t>
      </w:r>
      <w:r w:rsidRPr="0095391C">
        <w:rPr>
          <w:rFonts w:ascii="Calibri" w:hAnsi="Calibri" w:cs="Calibri"/>
          <w:bCs w:val="0"/>
          <w:sz w:val="22"/>
        </w:rPr>
        <w:t>) then a negative surface charge appears, and vice versa if pH H</w:t>
      </w:r>
      <w:r w:rsidRPr="0095391C">
        <w:rPr>
          <w:rFonts w:ascii="Calibri" w:hAnsi="Calibri" w:cs="Calibri"/>
          <w:bCs w:val="0"/>
          <w:sz w:val="22"/>
          <w:vertAlign w:val="subscript"/>
        </w:rPr>
        <w:t>2</w:t>
      </w:r>
      <w:r w:rsidRPr="0095391C">
        <w:rPr>
          <w:rFonts w:ascii="Calibri" w:hAnsi="Calibri" w:cs="Calibri"/>
          <w:bCs w:val="0"/>
          <w:sz w:val="22"/>
        </w:rPr>
        <w:t>O &gt; pH</w:t>
      </w:r>
      <w:r w:rsidRPr="0095391C">
        <w:rPr>
          <w:rFonts w:ascii="Calibri" w:hAnsi="Calibri" w:cs="Calibri"/>
          <w:bCs w:val="0"/>
          <w:sz w:val="22"/>
          <w:vertAlign w:val="subscript"/>
        </w:rPr>
        <w:t>PZC</w:t>
      </w:r>
      <w:r w:rsidRPr="0095391C">
        <w:rPr>
          <w:rFonts w:ascii="Calibri" w:hAnsi="Calibri" w:cs="Calibri"/>
          <w:bCs w:val="0"/>
          <w:sz w:val="22"/>
        </w:rPr>
        <w:t xml:space="preserve"> then the charge is negative ameliorant surface will be positive.</w:t>
      </w:r>
      <w:r w:rsidRPr="0095391C">
        <w:rPr>
          <w:rFonts w:ascii="Calibri" w:hAnsi="Calibri" w:cs="Calibri"/>
          <w:b/>
          <w:bCs w:val="0"/>
          <w:sz w:val="22"/>
        </w:rPr>
        <w:t xml:space="preserve"> </w:t>
      </w:r>
      <w:r w:rsidRPr="0095391C">
        <w:rPr>
          <w:rFonts w:ascii="Calibri" w:hAnsi="Calibri" w:cs="Calibri"/>
          <w:bCs w:val="0"/>
          <w:sz w:val="22"/>
        </w:rPr>
        <w:t xml:space="preserve">The pH of the solution at the time of adsorption describes the shape of the charge that occurs on the glyphosate (Fig 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03"/>
      </w:tblGrid>
      <w:tr w:rsidR="006D28B0" w:rsidRPr="0095391C" w14:paraId="7B03362D" w14:textId="77777777" w:rsidTr="006D28B0">
        <w:tc>
          <w:tcPr>
            <w:tcW w:w="4621" w:type="dxa"/>
            <w:vAlign w:val="center"/>
          </w:tcPr>
          <w:p w14:paraId="5EF1747C" w14:textId="7556BCAD" w:rsidR="006D28B0" w:rsidRPr="0095391C" w:rsidRDefault="006D28B0" w:rsidP="006D28B0">
            <w:pPr>
              <w:pStyle w:val="BodyText"/>
              <w:spacing w:beforeLines="0" w:after="0" w:line="276" w:lineRule="auto"/>
              <w:jc w:val="center"/>
              <w:rPr>
                <w:rFonts w:ascii="Calibri" w:hAnsi="Calibri" w:cs="Calibri"/>
                <w:bCs w:val="0"/>
                <w:sz w:val="22"/>
              </w:rPr>
            </w:pPr>
            <w:r w:rsidRPr="0095391C">
              <w:rPr>
                <w:rFonts w:asciiTheme="minorHAnsi" w:hAnsiTheme="minorHAnsi" w:cstheme="minorHAnsi"/>
                <w:noProof/>
                <w:sz w:val="22"/>
                <w:lang w:eastAsia="en-US"/>
              </w:rPr>
              <w:drawing>
                <wp:inline distT="0" distB="0" distL="0" distR="0" wp14:anchorId="1B9125DF" wp14:editId="2A669A94">
                  <wp:extent cx="2704289" cy="2436093"/>
                  <wp:effectExtent l="0" t="0" r="127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l="26234" t="16092" r="27498" b="9885"/>
                          <a:stretch>
                            <a:fillRect/>
                          </a:stretch>
                        </pic:blipFill>
                        <pic:spPr bwMode="auto">
                          <a:xfrm>
                            <a:off x="0" y="0"/>
                            <a:ext cx="2709541" cy="2440824"/>
                          </a:xfrm>
                          <a:prstGeom prst="rect">
                            <a:avLst/>
                          </a:prstGeom>
                          <a:noFill/>
                          <a:ln>
                            <a:noFill/>
                          </a:ln>
                        </pic:spPr>
                      </pic:pic>
                    </a:graphicData>
                  </a:graphic>
                </wp:inline>
              </w:drawing>
            </w:r>
          </w:p>
        </w:tc>
        <w:tc>
          <w:tcPr>
            <w:tcW w:w="4621" w:type="dxa"/>
          </w:tcPr>
          <w:p w14:paraId="700E98A7" w14:textId="1B5E9305" w:rsidR="006D28B0" w:rsidRPr="0095391C" w:rsidRDefault="006D28B0" w:rsidP="00A663CA">
            <w:pPr>
              <w:pStyle w:val="BodyText"/>
              <w:spacing w:beforeLines="0" w:after="0" w:line="276" w:lineRule="auto"/>
              <w:rPr>
                <w:rFonts w:ascii="Calibri" w:hAnsi="Calibri" w:cs="Calibri"/>
                <w:bCs w:val="0"/>
                <w:sz w:val="22"/>
              </w:rPr>
            </w:pPr>
            <w:r w:rsidRPr="0095391C">
              <w:rPr>
                <w:rFonts w:asciiTheme="minorHAnsi" w:hAnsiTheme="minorHAnsi" w:cstheme="minorHAnsi"/>
                <w:noProof/>
                <w:sz w:val="22"/>
                <w:lang w:eastAsia="en-US"/>
              </w:rPr>
              <w:drawing>
                <wp:inline distT="0" distB="0" distL="0" distR="0" wp14:anchorId="163ADA22" wp14:editId="6ACEF732">
                  <wp:extent cx="2684835" cy="3001339"/>
                  <wp:effectExtent l="0" t="0" r="1270" b="889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31">
                            <a:extLst>
                              <a:ext uri="{28A0092B-C50C-407E-A947-70E740481C1C}">
                                <a14:useLocalDpi xmlns:a14="http://schemas.microsoft.com/office/drawing/2010/main" val="0"/>
                              </a:ext>
                            </a:extLst>
                          </a:blip>
                          <a:srcRect l="51421" t="16849" r="15366" b="17067"/>
                          <a:stretch>
                            <a:fillRect/>
                          </a:stretch>
                        </pic:blipFill>
                        <pic:spPr bwMode="auto">
                          <a:xfrm>
                            <a:off x="0" y="0"/>
                            <a:ext cx="2692065" cy="3009422"/>
                          </a:xfrm>
                          <a:prstGeom prst="rect">
                            <a:avLst/>
                          </a:prstGeom>
                          <a:noFill/>
                          <a:ln>
                            <a:noFill/>
                          </a:ln>
                        </pic:spPr>
                      </pic:pic>
                    </a:graphicData>
                  </a:graphic>
                </wp:inline>
              </w:drawing>
            </w:r>
          </w:p>
        </w:tc>
      </w:tr>
      <w:tr w:rsidR="006D28B0" w:rsidRPr="0095391C" w14:paraId="7BDDA031" w14:textId="77777777" w:rsidTr="006D28B0">
        <w:tc>
          <w:tcPr>
            <w:tcW w:w="4621" w:type="dxa"/>
          </w:tcPr>
          <w:p w14:paraId="454251C3" w14:textId="654BEB06" w:rsidR="006D28B0" w:rsidRPr="0095391C" w:rsidRDefault="006D28B0" w:rsidP="006D28B0">
            <w:pPr>
              <w:pStyle w:val="BodyText"/>
              <w:spacing w:beforeLines="0" w:after="0" w:line="276" w:lineRule="auto"/>
              <w:jc w:val="center"/>
              <w:rPr>
                <w:rFonts w:ascii="Calibri" w:hAnsi="Calibri" w:cs="Calibri"/>
                <w:b/>
                <w:bCs w:val="0"/>
                <w:sz w:val="22"/>
              </w:rPr>
            </w:pPr>
            <w:r w:rsidRPr="0095391C">
              <w:rPr>
                <w:rFonts w:ascii="Calibri" w:hAnsi="Calibri" w:cs="Calibri"/>
                <w:b/>
                <w:bCs w:val="0"/>
                <w:sz w:val="22"/>
              </w:rPr>
              <w:t>(A)</w:t>
            </w:r>
          </w:p>
        </w:tc>
        <w:tc>
          <w:tcPr>
            <w:tcW w:w="4621" w:type="dxa"/>
          </w:tcPr>
          <w:p w14:paraId="1C477198" w14:textId="0DAEB766" w:rsidR="006D28B0" w:rsidRPr="0095391C" w:rsidRDefault="006D28B0" w:rsidP="006D28B0">
            <w:pPr>
              <w:pStyle w:val="BodyText"/>
              <w:tabs>
                <w:tab w:val="left" w:pos="843"/>
              </w:tabs>
              <w:spacing w:beforeLines="0" w:after="0" w:line="276" w:lineRule="auto"/>
              <w:jc w:val="center"/>
              <w:rPr>
                <w:rFonts w:ascii="Calibri" w:hAnsi="Calibri" w:cs="Calibri"/>
                <w:b/>
                <w:bCs w:val="0"/>
                <w:sz w:val="22"/>
              </w:rPr>
            </w:pPr>
            <w:r w:rsidRPr="0095391C">
              <w:rPr>
                <w:rFonts w:ascii="Calibri" w:hAnsi="Calibri" w:cs="Calibri"/>
                <w:b/>
                <w:bCs w:val="0"/>
                <w:sz w:val="22"/>
              </w:rPr>
              <w:t>(B)</w:t>
            </w:r>
          </w:p>
        </w:tc>
      </w:tr>
    </w:tbl>
    <w:p w14:paraId="6201E3A9" w14:textId="78E66F8D" w:rsidR="006D28B0" w:rsidRPr="0095391C" w:rsidRDefault="006D28B0" w:rsidP="006D28B0">
      <w:pPr>
        <w:pStyle w:val="Text"/>
        <w:ind w:firstLine="0"/>
        <w:rPr>
          <w:rFonts w:asciiTheme="minorHAnsi" w:hAnsiTheme="minorHAnsi" w:cstheme="minorHAnsi"/>
          <w:sz w:val="22"/>
          <w:szCs w:val="22"/>
        </w:rPr>
      </w:pPr>
      <w:r w:rsidRPr="0095391C">
        <w:rPr>
          <w:rFonts w:asciiTheme="minorHAnsi" w:hAnsiTheme="minorHAnsi" w:cstheme="minorHAnsi"/>
          <w:sz w:val="22"/>
          <w:szCs w:val="22"/>
        </w:rPr>
        <w:t>Figure 8. (A) Ionic state of glyphosate as a function of pH and (B) Prediction of glyphosate adsorption mechanism on rice husk biochar amended Inceptisols.</w:t>
      </w:r>
    </w:p>
    <w:p w14:paraId="5CC2F5CC" w14:textId="77777777" w:rsidR="006D28B0" w:rsidRPr="0095391C" w:rsidRDefault="006D28B0" w:rsidP="00A663CA">
      <w:pPr>
        <w:pStyle w:val="BodyText"/>
        <w:spacing w:beforeLines="0" w:after="0" w:line="276" w:lineRule="auto"/>
        <w:rPr>
          <w:rFonts w:ascii="Calibri" w:hAnsi="Calibri" w:cs="Calibri"/>
          <w:bCs w:val="0"/>
          <w:sz w:val="22"/>
        </w:rPr>
      </w:pPr>
    </w:p>
    <w:p w14:paraId="759B1ACE" w14:textId="66E5164E" w:rsidR="00F5425F" w:rsidRPr="0095391C" w:rsidRDefault="00F5425F" w:rsidP="004A6FA1">
      <w:pPr>
        <w:pStyle w:val="BodyText"/>
        <w:spacing w:beforeLines="0" w:after="0" w:line="276" w:lineRule="auto"/>
        <w:rPr>
          <w:rFonts w:ascii="Calibri" w:hAnsi="Calibri" w:cs="Calibri"/>
          <w:bCs w:val="0"/>
          <w:sz w:val="22"/>
        </w:rPr>
      </w:pPr>
      <w:r w:rsidRPr="0095391C">
        <w:rPr>
          <w:rFonts w:ascii="Calibri" w:hAnsi="Calibri" w:cs="Calibri"/>
          <w:bCs w:val="0"/>
          <w:sz w:val="22"/>
        </w:rPr>
        <w:t xml:space="preserve">Therefore, the adsorption process can occur with the formation of a surface complex through the three phosphonate groups and the coordination of OH, O, NH and P with the adsorbent surface (Tevez and Afonso, 2015). All of this is influenced by the density of the active site of the adsorbent used and the </w:t>
      </w:r>
      <w:r w:rsidRPr="0095391C">
        <w:rPr>
          <w:rFonts w:ascii="Calibri" w:hAnsi="Calibri" w:cs="Calibri"/>
          <w:bCs w:val="0"/>
          <w:sz w:val="22"/>
        </w:rPr>
        <w:lastRenderedPageBreak/>
        <w:t xml:space="preserve">specific surface area that can affect the adsorption capacity of glyphosate. This increase in adsorption may be due to an increase in the surface area, and hence the number of active sites (Premarathna et al., 2019).In the soil, biochar undergoes various oxidation reactions that increase oxygen-containing functional groups such as phenol and carboxyl groups on the biochar surface. Thus, after aging in the soil, biochar has the potential to have more glyphosate adsorption sites than fresh biochar. This explains that the incubation process of biochar in the soil also determines the adsorption capacity that occurs and also affects variations in soil properties such as pH, CEC, SOM, and FT-IR (Tables 1, 2 and Figure 2). This may play a role for the observed increase in adsorption capacity of glyphosate in adsorbents (Inceptisols-biochar). According to Kumari et al., (2016) The high prevalence of mineral-biochar interactions which include absorption sites in clay and amorphous oxides at higher levels of biochar application play an important role in biochar-mineral interactions in the glyphosate adsorption process. </w:t>
      </w:r>
    </w:p>
    <w:p w14:paraId="3697E993" w14:textId="2E263ACA" w:rsidR="00F87315" w:rsidRPr="0095391C" w:rsidRDefault="00A663CA" w:rsidP="004A6FA1">
      <w:pPr>
        <w:pStyle w:val="BodyText"/>
        <w:spacing w:beforeLines="0" w:after="0" w:line="276" w:lineRule="auto"/>
        <w:rPr>
          <w:rFonts w:ascii="Calibri" w:hAnsi="Calibri" w:cs="Calibri"/>
          <w:bCs w:val="0"/>
          <w:sz w:val="22"/>
        </w:rPr>
      </w:pPr>
      <w:r w:rsidRPr="0095391C">
        <w:rPr>
          <w:rFonts w:ascii="Calibri" w:hAnsi="Calibri" w:cs="Calibri"/>
          <w:bCs w:val="0"/>
          <w:sz w:val="22"/>
        </w:rPr>
        <w:t>The adsorption isotherm was studied to determine the type of adsorbate layer formed on the surface of the adsorbent, the adsorption mechanism, and to provide information about the maximum adsorption capacity (Gupta et al., 2019). This study uses two adsorption isotherm models, namely the Freundlich and Langmuir models. The isotherm model that is suitable for the adsorption process is selected on a model that has an R</w:t>
      </w:r>
      <w:r w:rsidRPr="0095391C">
        <w:rPr>
          <w:rFonts w:ascii="Calibri" w:hAnsi="Calibri" w:cs="Calibri"/>
          <w:bCs w:val="0"/>
          <w:sz w:val="22"/>
          <w:vertAlign w:val="superscript"/>
        </w:rPr>
        <w:t>2</w:t>
      </w:r>
      <w:r w:rsidRPr="0095391C">
        <w:rPr>
          <w:rFonts w:ascii="Calibri" w:hAnsi="Calibri" w:cs="Calibri"/>
          <w:bCs w:val="0"/>
          <w:sz w:val="22"/>
        </w:rPr>
        <w:t xml:space="preserve"> value close to one (Drakhshan et al., 2013). The Langmuir model describes the adsorbent and adsorbate that form a single layer in the adsorption process. Therefore, all sites are the same, the adsorbent surface is homogeneous, and the heat of adsorption is independent of the closure of the surface active sites (El et al., 2021), whereas the Freundlich model explains that the ads</w:t>
      </w:r>
      <w:r w:rsidR="00F5425F" w:rsidRPr="0095391C">
        <w:rPr>
          <w:rFonts w:ascii="Calibri" w:hAnsi="Calibri" w:cs="Calibri"/>
          <w:bCs w:val="0"/>
          <w:sz w:val="22"/>
        </w:rPr>
        <w:t>orbent surface is heterogeneous</w:t>
      </w:r>
      <w:r w:rsidRPr="0095391C">
        <w:rPr>
          <w:rFonts w:ascii="Calibri" w:hAnsi="Calibri" w:cs="Calibri"/>
          <w:bCs w:val="0"/>
          <w:sz w:val="22"/>
        </w:rPr>
        <w:t xml:space="preserve"> form a multilayer between the adsorbate molecules and the adsorbent surface. The adsorption of glyphosate to E</w:t>
      </w:r>
      <w:r w:rsidR="006D28B0" w:rsidRPr="0095391C">
        <w:rPr>
          <w:rFonts w:ascii="Calibri" w:hAnsi="Calibri" w:cs="Calibri"/>
          <w:bCs w:val="0"/>
          <w:sz w:val="22"/>
        </w:rPr>
        <w:t>p</w:t>
      </w:r>
      <w:r w:rsidRPr="0095391C">
        <w:rPr>
          <w:rFonts w:ascii="Calibri" w:hAnsi="Calibri" w:cs="Calibri"/>
          <w:bCs w:val="0"/>
          <w:sz w:val="22"/>
        </w:rPr>
        <w:t>t and RH</w:t>
      </w:r>
      <w:r w:rsidRPr="0095391C">
        <w:rPr>
          <w:rFonts w:ascii="Calibri" w:hAnsi="Calibri" w:cs="Calibri"/>
          <w:bCs w:val="0"/>
          <w:sz w:val="22"/>
          <w:vertAlign w:val="subscript"/>
        </w:rPr>
        <w:t>B</w:t>
      </w:r>
      <w:r w:rsidRPr="0095391C">
        <w:rPr>
          <w:rFonts w:ascii="Calibri" w:hAnsi="Calibri" w:cs="Calibri"/>
          <w:bCs w:val="0"/>
          <w:sz w:val="22"/>
        </w:rPr>
        <w:t>/E</w:t>
      </w:r>
      <w:r w:rsidR="006D28B0" w:rsidRPr="0095391C">
        <w:rPr>
          <w:rFonts w:ascii="Calibri" w:hAnsi="Calibri" w:cs="Calibri"/>
          <w:bCs w:val="0"/>
          <w:sz w:val="22"/>
        </w:rPr>
        <w:t>p</w:t>
      </w:r>
      <w:r w:rsidRPr="0095391C">
        <w:rPr>
          <w:rFonts w:ascii="Calibri" w:hAnsi="Calibri" w:cs="Calibri"/>
          <w:bCs w:val="0"/>
          <w:sz w:val="22"/>
        </w:rPr>
        <w:t>t is shown in the linearized Freundlich and Langmuir model as described in Figure 7, and the isotherm constants and correlation coefficients extracted from the plots are listed in Table 3. Based on all the previous explanations, the mechanism of glyphosate adsorption on Ent, and RH</w:t>
      </w:r>
      <w:r w:rsidRPr="0095391C">
        <w:rPr>
          <w:rFonts w:ascii="Calibri" w:hAnsi="Calibri" w:cs="Calibri"/>
          <w:bCs w:val="0"/>
          <w:sz w:val="22"/>
          <w:vertAlign w:val="subscript"/>
        </w:rPr>
        <w:t>B</w:t>
      </w:r>
      <w:r w:rsidRPr="0095391C">
        <w:rPr>
          <w:rFonts w:ascii="Calibri" w:hAnsi="Calibri" w:cs="Calibri"/>
          <w:bCs w:val="0"/>
          <w:sz w:val="22"/>
        </w:rPr>
        <w:t>/Ent</w:t>
      </w:r>
      <w:r w:rsidR="006D28B0" w:rsidRPr="0095391C">
        <w:rPr>
          <w:rFonts w:ascii="Calibri" w:hAnsi="Calibri" w:cs="Calibri"/>
          <w:bCs w:val="0"/>
          <w:sz w:val="22"/>
        </w:rPr>
        <w:t xml:space="preserve"> can be illustrated in Figure 8B</w:t>
      </w:r>
      <w:r w:rsidRPr="0095391C">
        <w:rPr>
          <w:rFonts w:ascii="Calibri" w:hAnsi="Calibri" w:cs="Calibri"/>
          <w:bCs w:val="0"/>
          <w:sz w:val="22"/>
        </w:rPr>
        <w:t>. Based on the order of R</w:t>
      </w:r>
      <w:r w:rsidRPr="0095391C">
        <w:rPr>
          <w:rFonts w:ascii="Calibri" w:hAnsi="Calibri" w:cs="Calibri"/>
          <w:bCs w:val="0"/>
          <w:sz w:val="22"/>
          <w:vertAlign w:val="superscript"/>
        </w:rPr>
        <w:t>2</w:t>
      </w:r>
      <w:r w:rsidRPr="0095391C">
        <w:rPr>
          <w:rFonts w:ascii="Calibri" w:hAnsi="Calibri" w:cs="Calibri"/>
          <w:bCs w:val="0"/>
          <w:sz w:val="22"/>
        </w:rPr>
        <w:t xml:space="preserve"> values, the Langmuir model seems to be the most suitable model to describe the adsorption of glyphosate by Ept and RHB/Ept. Thus, it can be assumed that a layer is formed on the Ept and RH</w:t>
      </w:r>
      <w:r w:rsidRPr="0095391C">
        <w:rPr>
          <w:rFonts w:ascii="Calibri" w:hAnsi="Calibri" w:cs="Calibri"/>
          <w:bCs w:val="0"/>
          <w:sz w:val="22"/>
          <w:vertAlign w:val="subscript"/>
        </w:rPr>
        <w:t>B</w:t>
      </w:r>
      <w:r w:rsidRPr="0095391C">
        <w:rPr>
          <w:rFonts w:ascii="Calibri" w:hAnsi="Calibri" w:cs="Calibri"/>
          <w:bCs w:val="0"/>
          <w:sz w:val="22"/>
        </w:rPr>
        <w:t xml:space="preserve">/Ept surfaces by glyphosate molecules during adsorption. This shows that the </w:t>
      </w:r>
      <w:r w:rsidRPr="0095391C">
        <w:rPr>
          <w:rFonts w:asciiTheme="minorHAnsi" w:hAnsiTheme="minorHAnsi" w:cstheme="minorHAnsi"/>
          <w:bCs w:val="0"/>
          <w:sz w:val="22"/>
        </w:rPr>
        <w:t>process of adsorption of glyphosate by Ept, and RHB/Ept is quite good and can adsorb glyphosate at the concentrations in this study.</w:t>
      </w:r>
      <w:r w:rsidR="006D28B0" w:rsidRPr="0095391C">
        <w:rPr>
          <w:rFonts w:asciiTheme="minorHAnsi" w:hAnsiTheme="minorHAnsi" w:cstheme="minorHAnsi"/>
          <w:bCs w:val="0"/>
          <w:sz w:val="22"/>
        </w:rPr>
        <w:t xml:space="preserve"> </w:t>
      </w:r>
    </w:p>
    <w:p w14:paraId="761980D1" w14:textId="77777777" w:rsidR="006D28B0" w:rsidRPr="0095391C" w:rsidRDefault="006D28B0" w:rsidP="004A6FA1">
      <w:pPr>
        <w:pStyle w:val="BodyText"/>
        <w:spacing w:beforeLines="0" w:after="0" w:line="276" w:lineRule="auto"/>
        <w:rPr>
          <w:rFonts w:ascii="Calibri" w:hAnsi="Calibri" w:cs="Calibri"/>
          <w:b/>
          <w:bCs w:val="0"/>
          <w:sz w:val="22"/>
        </w:rPr>
      </w:pPr>
    </w:p>
    <w:p w14:paraId="53FA265C" w14:textId="77777777" w:rsidR="00FA7473" w:rsidRPr="0095391C" w:rsidRDefault="00FA7473" w:rsidP="004A6FA1">
      <w:pPr>
        <w:pStyle w:val="BodyText"/>
        <w:spacing w:beforeLines="0" w:after="0" w:line="276" w:lineRule="auto"/>
        <w:rPr>
          <w:rFonts w:ascii="Calibri" w:hAnsi="Calibri" w:cs="Calibri"/>
          <w:b/>
          <w:bCs w:val="0"/>
          <w:sz w:val="22"/>
        </w:rPr>
      </w:pPr>
      <w:r w:rsidRPr="0095391C">
        <w:rPr>
          <w:rFonts w:ascii="Calibri" w:hAnsi="Calibri" w:cs="Calibri"/>
          <w:b/>
          <w:bCs w:val="0"/>
          <w:sz w:val="22"/>
        </w:rPr>
        <w:t>CONCLUSION</w:t>
      </w:r>
    </w:p>
    <w:p w14:paraId="0EFADD0E" w14:textId="0C41778D" w:rsidR="00B51FEC" w:rsidRPr="0095391C" w:rsidRDefault="00B51FEC" w:rsidP="00B51FEC">
      <w:pPr>
        <w:pStyle w:val="Text"/>
        <w:spacing w:line="276" w:lineRule="auto"/>
        <w:ind w:firstLine="0"/>
        <w:rPr>
          <w:rFonts w:asciiTheme="minorHAnsi" w:hAnsiTheme="minorHAnsi" w:cstheme="minorHAnsi"/>
          <w:noProof/>
          <w:sz w:val="22"/>
          <w:szCs w:val="22"/>
          <w:lang w:eastAsia="ja-JP"/>
        </w:rPr>
      </w:pPr>
      <w:r w:rsidRPr="0095391C">
        <w:rPr>
          <w:rFonts w:asciiTheme="minorHAnsi" w:hAnsiTheme="minorHAnsi" w:cstheme="minorHAnsi"/>
          <w:noProof/>
          <w:sz w:val="22"/>
          <w:szCs w:val="22"/>
          <w:lang w:eastAsia="ja-JP"/>
        </w:rPr>
        <w:t>The adsorption isotherm of glyphosate sequentially occurs in the Langmuir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/Ept &gt; Ept) and Freundlich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/Ept &gt; Ept) models, where the Langmuir model (R</w:t>
      </w:r>
      <w:r w:rsidRPr="0095391C">
        <w:rPr>
          <w:rFonts w:asciiTheme="minorHAnsi" w:hAnsiTheme="minorHAnsi" w:cstheme="minorHAnsi"/>
          <w:noProof/>
          <w:sz w:val="22"/>
          <w:szCs w:val="22"/>
          <w:vertAlign w:val="superscript"/>
          <w:lang w:eastAsia="ja-JP"/>
        </w:rPr>
        <w:t>2</w:t>
      </w:r>
      <w:r w:rsidRPr="0095391C">
        <w:rPr>
          <w:rFonts w:asciiTheme="minorHAnsi" w:hAnsiTheme="minorHAnsi" w:cstheme="minorHAnsi"/>
          <w:noProof/>
          <w:sz w:val="22"/>
          <w:szCs w:val="22"/>
          <w:lang w:eastAsia="ja-JP"/>
        </w:rPr>
        <w:t xml:space="preserve"> = 0.27) is dominated by the adsorption process of glyphosate on soil amelioration with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/Ent with a value of Q</w:t>
      </w:r>
      <w:r w:rsidRPr="0095391C">
        <w:rPr>
          <w:rFonts w:asciiTheme="minorHAnsi" w:hAnsiTheme="minorHAnsi" w:cstheme="minorHAnsi"/>
          <w:noProof/>
          <w:sz w:val="22"/>
          <w:szCs w:val="22"/>
          <w:vertAlign w:val="subscript"/>
          <w:lang w:eastAsia="ja-JP"/>
        </w:rPr>
        <w:t>m</w:t>
      </w:r>
      <w:r w:rsidRPr="0095391C">
        <w:rPr>
          <w:rFonts w:asciiTheme="minorHAnsi" w:hAnsiTheme="minorHAnsi" w:cstheme="minorHAnsi"/>
          <w:noProof/>
          <w:sz w:val="22"/>
          <w:szCs w:val="22"/>
          <w:lang w:eastAsia="ja-JP"/>
        </w:rPr>
        <w:t xml:space="preserve"> (0.06 mg g</w:t>
      </w:r>
      <w:r w:rsidRPr="0095391C">
        <w:rPr>
          <w:rFonts w:asciiTheme="minorHAnsi" w:hAnsiTheme="minorHAnsi" w:cstheme="minorHAnsi"/>
          <w:noProof/>
          <w:sz w:val="22"/>
          <w:szCs w:val="22"/>
          <w:vertAlign w:val="superscript"/>
          <w:lang w:eastAsia="ja-JP"/>
        </w:rPr>
        <w:t>-1</w:t>
      </w:r>
      <w:r w:rsidRPr="0095391C">
        <w:rPr>
          <w:rFonts w:asciiTheme="minorHAnsi" w:hAnsiTheme="minorHAnsi" w:cstheme="minorHAnsi"/>
          <w:noProof/>
          <w:sz w:val="22"/>
          <w:szCs w:val="22"/>
          <w:lang w:eastAsia="ja-JP"/>
        </w:rPr>
        <w:t>) and K</w:t>
      </w:r>
      <w:r w:rsidRPr="0095391C">
        <w:rPr>
          <w:rFonts w:asciiTheme="minorHAnsi" w:hAnsiTheme="minorHAnsi" w:cstheme="minorHAnsi"/>
          <w:noProof/>
          <w:sz w:val="22"/>
          <w:szCs w:val="22"/>
          <w:vertAlign w:val="subscript"/>
          <w:lang w:eastAsia="ja-JP"/>
        </w:rPr>
        <w:t>L</w:t>
      </w:r>
      <w:r w:rsidRPr="0095391C">
        <w:rPr>
          <w:rFonts w:asciiTheme="minorHAnsi" w:hAnsiTheme="minorHAnsi" w:cstheme="minorHAnsi"/>
          <w:noProof/>
          <w:sz w:val="22"/>
          <w:szCs w:val="22"/>
          <w:lang w:eastAsia="ja-JP"/>
        </w:rPr>
        <w:t xml:space="preserve"> (0.068</w:t>
      </w:r>
      <w:r w:rsidRPr="0095391C">
        <w:rPr>
          <w:rFonts w:asciiTheme="minorHAnsi" w:hAnsiTheme="minorHAnsi" w:cstheme="minorHAnsi"/>
          <w:sz w:val="22"/>
          <w:szCs w:val="22"/>
        </w:rPr>
        <w:t>L mg</w:t>
      </w:r>
      <w:r w:rsidRPr="0095391C">
        <w:rPr>
          <w:rFonts w:asciiTheme="minorHAnsi" w:hAnsiTheme="minorHAnsi" w:cstheme="minorHAnsi"/>
          <w:sz w:val="22"/>
          <w:szCs w:val="22"/>
          <w:vertAlign w:val="superscript"/>
        </w:rPr>
        <w:t>-1</w:t>
      </w:r>
      <w:r w:rsidRPr="0095391C">
        <w:rPr>
          <w:rFonts w:asciiTheme="minorHAnsi" w:hAnsiTheme="minorHAnsi" w:cstheme="minorHAnsi"/>
          <w:noProof/>
          <w:sz w:val="22"/>
          <w:szCs w:val="22"/>
          <w:lang w:eastAsia="ja-JP"/>
        </w:rPr>
        <w:t>) at an adsorption efficiency of 86.93%, while the Freundlich model (R</w:t>
      </w:r>
      <w:r w:rsidRPr="0095391C">
        <w:rPr>
          <w:rFonts w:asciiTheme="minorHAnsi" w:hAnsiTheme="minorHAnsi" w:cstheme="minorHAnsi"/>
          <w:noProof/>
          <w:sz w:val="22"/>
          <w:szCs w:val="22"/>
          <w:vertAlign w:val="superscript"/>
          <w:lang w:eastAsia="ja-JP"/>
        </w:rPr>
        <w:t>2</w:t>
      </w:r>
      <w:r w:rsidRPr="0095391C">
        <w:rPr>
          <w:rFonts w:asciiTheme="minorHAnsi" w:hAnsiTheme="minorHAnsi" w:cstheme="minorHAnsi"/>
          <w:noProof/>
          <w:sz w:val="22"/>
          <w:szCs w:val="22"/>
          <w:lang w:eastAsia="ja-JP"/>
        </w:rPr>
        <w:t xml:space="preserve"> = 0.21) was dominated by the adsorption process of glyphosate on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 xml:space="preserve"> with a value of n (1.00) and K</w:t>
      </w:r>
      <w:r w:rsidRPr="0095391C">
        <w:rPr>
          <w:rFonts w:asciiTheme="minorHAnsi" w:hAnsiTheme="minorHAnsi" w:cstheme="minorHAnsi"/>
          <w:noProof/>
          <w:sz w:val="22"/>
          <w:szCs w:val="22"/>
          <w:vertAlign w:val="subscript"/>
          <w:lang w:eastAsia="ja-JP"/>
        </w:rPr>
        <w:t>F</w:t>
      </w:r>
      <w:r w:rsidRPr="0095391C">
        <w:rPr>
          <w:rFonts w:asciiTheme="minorHAnsi" w:hAnsiTheme="minorHAnsi" w:cstheme="minorHAnsi"/>
          <w:noProof/>
          <w:sz w:val="22"/>
          <w:szCs w:val="22"/>
          <w:lang w:eastAsia="ja-JP"/>
        </w:rPr>
        <w:t xml:space="preserve"> (42.94 (</w:t>
      </w:r>
      <w:r w:rsidRPr="0095391C">
        <w:rPr>
          <w:rFonts w:asciiTheme="minorHAnsi" w:hAnsiTheme="minorHAnsi" w:cstheme="minorHAnsi"/>
          <w:sz w:val="22"/>
          <w:szCs w:val="22"/>
        </w:rPr>
        <w:t>mg g</w:t>
      </w:r>
      <w:r w:rsidRPr="0095391C">
        <w:rPr>
          <w:rFonts w:asciiTheme="minorHAnsi" w:hAnsiTheme="minorHAnsi" w:cstheme="minorHAnsi"/>
          <w:sz w:val="22"/>
          <w:szCs w:val="22"/>
          <w:vertAlign w:val="superscript"/>
        </w:rPr>
        <w:t xml:space="preserve">-1 </w:t>
      </w:r>
      <w:r w:rsidRPr="0095391C">
        <w:rPr>
          <w:rFonts w:asciiTheme="minorHAnsi" w:hAnsiTheme="minorHAnsi" w:cstheme="minorHAnsi"/>
          <w:sz w:val="22"/>
          <w:szCs w:val="22"/>
        </w:rPr>
        <w:t>L mg</w:t>
      </w:r>
      <w:r w:rsidRPr="0095391C">
        <w:rPr>
          <w:rFonts w:asciiTheme="minorHAnsi" w:hAnsiTheme="minorHAnsi" w:cstheme="minorHAnsi"/>
          <w:sz w:val="22"/>
          <w:szCs w:val="22"/>
          <w:vertAlign w:val="superscript"/>
        </w:rPr>
        <w:t>-1</w:t>
      </w:r>
      <w:r w:rsidRPr="0095391C">
        <w:rPr>
          <w:rFonts w:asciiTheme="minorHAnsi" w:hAnsiTheme="minorHAnsi" w:cstheme="minorHAnsi"/>
          <w:sz w:val="22"/>
          <w:szCs w:val="22"/>
        </w:rPr>
        <w:t>)</w:t>
      </w:r>
      <w:r w:rsidRPr="0095391C">
        <w:rPr>
          <w:rFonts w:asciiTheme="minorHAnsi" w:hAnsiTheme="minorHAnsi" w:cstheme="minorHAnsi"/>
          <w:sz w:val="22"/>
          <w:szCs w:val="22"/>
          <w:vertAlign w:val="superscript"/>
        </w:rPr>
        <w:t>1/n</w:t>
      </w:r>
      <w:r w:rsidRPr="0095391C">
        <w:rPr>
          <w:rFonts w:asciiTheme="minorHAnsi" w:hAnsiTheme="minorHAnsi" w:cstheme="minorHAnsi"/>
          <w:noProof/>
          <w:sz w:val="22"/>
          <w:szCs w:val="22"/>
          <w:lang w:eastAsia="ja-JP"/>
        </w:rPr>
        <w:t xml:space="preserve"> at an adsorption efficiency of 86.94% at a concentration level of 100 ppm and pH 5.20 unit. The adsorption process of glyphosate was strongly supported by the charge activity and the number of pores on the surface of each adsorbent, where the FT-IR showed a decrease in transmittance in the O-H; C=C; C-O; C-H and minerals group that explain the absorption capacity during the adsorption process of glyphosate on each adsorbent. Meanwhile, the highest loading activity occurred in Inceptisols ameliorated with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 xml:space="preserve"> 40 t ha</w:t>
      </w:r>
      <w:r w:rsidRPr="0095391C">
        <w:rPr>
          <w:rFonts w:asciiTheme="minorHAnsi" w:hAnsiTheme="minorHAnsi" w:cstheme="minorHAnsi"/>
          <w:noProof/>
          <w:sz w:val="22"/>
          <w:szCs w:val="22"/>
          <w:vertAlign w:val="superscript"/>
          <w:lang w:eastAsia="ja-JP"/>
        </w:rPr>
        <w:t>-1</w:t>
      </w:r>
      <w:r w:rsidRPr="0095391C">
        <w:rPr>
          <w:rFonts w:asciiTheme="minorHAnsi" w:hAnsiTheme="minorHAnsi" w:cstheme="minorHAnsi"/>
          <w:noProof/>
          <w:sz w:val="22"/>
          <w:szCs w:val="22"/>
          <w:lang w:eastAsia="ja-JP"/>
        </w:rPr>
        <w:t xml:space="preserve"> (RH</w:t>
      </w:r>
      <w:r w:rsidRPr="0095391C">
        <w:rPr>
          <w:rFonts w:asciiTheme="minorHAnsi" w:hAnsiTheme="minorHAnsi" w:cstheme="minorHAnsi"/>
          <w:noProof/>
          <w:sz w:val="22"/>
          <w:szCs w:val="22"/>
          <w:vertAlign w:val="subscript"/>
          <w:lang w:eastAsia="ja-JP"/>
        </w:rPr>
        <w:t>B</w:t>
      </w:r>
      <w:r w:rsidRPr="0095391C">
        <w:rPr>
          <w:rFonts w:asciiTheme="minorHAnsi" w:hAnsiTheme="minorHAnsi" w:cstheme="minorHAnsi"/>
          <w:noProof/>
          <w:sz w:val="22"/>
          <w:szCs w:val="22"/>
          <w:lang w:eastAsia="ja-JP"/>
        </w:rPr>
        <w:t xml:space="preserve">/Ept) showed an increase in charge </w:t>
      </w:r>
      <w:r w:rsidRPr="0095391C">
        <w:rPr>
          <w:rFonts w:asciiTheme="minorHAnsi" w:hAnsiTheme="minorHAnsi" w:cstheme="minorHAnsi"/>
          <w:noProof/>
          <w:sz w:val="22"/>
          <w:szCs w:val="22"/>
          <w:lang w:eastAsia="ja-JP"/>
        </w:rPr>
        <w:lastRenderedPageBreak/>
        <w:t>activity of 0.15 (ΔpH), where the charge activity was supported by an increase in pH H</w:t>
      </w:r>
      <w:r w:rsidRPr="0095391C">
        <w:rPr>
          <w:rFonts w:asciiTheme="minorHAnsi" w:hAnsiTheme="minorHAnsi" w:cstheme="minorHAnsi"/>
          <w:noProof/>
          <w:sz w:val="22"/>
          <w:szCs w:val="22"/>
          <w:vertAlign w:val="subscript"/>
          <w:lang w:eastAsia="ja-JP"/>
        </w:rPr>
        <w:t>2</w:t>
      </w:r>
      <w:r w:rsidRPr="0095391C">
        <w:rPr>
          <w:rFonts w:asciiTheme="minorHAnsi" w:hAnsiTheme="minorHAnsi" w:cstheme="minorHAnsi"/>
          <w:noProof/>
          <w:sz w:val="22"/>
          <w:szCs w:val="22"/>
          <w:lang w:eastAsia="ja-JP"/>
        </w:rPr>
        <w:t>O (0.70 units), EC (0.30 dS m</w:t>
      </w:r>
      <w:r w:rsidRPr="0095391C">
        <w:rPr>
          <w:rFonts w:asciiTheme="minorHAnsi" w:hAnsiTheme="minorHAnsi" w:cstheme="minorHAnsi"/>
          <w:noProof/>
          <w:sz w:val="22"/>
          <w:szCs w:val="22"/>
          <w:vertAlign w:val="superscript"/>
          <w:lang w:eastAsia="ja-JP"/>
        </w:rPr>
        <w:t>-1</w:t>
      </w:r>
      <w:r w:rsidRPr="0095391C">
        <w:rPr>
          <w:rFonts w:asciiTheme="minorHAnsi" w:hAnsiTheme="minorHAnsi" w:cstheme="minorHAnsi"/>
          <w:noProof/>
          <w:sz w:val="22"/>
          <w:szCs w:val="22"/>
          <w:lang w:eastAsia="ja-JP"/>
        </w:rPr>
        <w:t>), CEC (40.01 cmol kg</w:t>
      </w:r>
      <w:r w:rsidRPr="0095391C">
        <w:rPr>
          <w:rFonts w:asciiTheme="minorHAnsi" w:hAnsiTheme="minorHAnsi" w:cstheme="minorHAnsi"/>
          <w:noProof/>
          <w:sz w:val="22"/>
          <w:szCs w:val="22"/>
          <w:vertAlign w:val="superscript"/>
          <w:lang w:eastAsia="ja-JP"/>
        </w:rPr>
        <w:t>-1</w:t>
      </w:r>
      <w:r w:rsidRPr="0095391C">
        <w:rPr>
          <w:rFonts w:asciiTheme="minorHAnsi" w:hAnsiTheme="minorHAnsi" w:cstheme="minorHAnsi"/>
          <w:noProof/>
          <w:sz w:val="22"/>
          <w:szCs w:val="22"/>
          <w:lang w:eastAsia="ja-JP"/>
        </w:rPr>
        <w:t>), SOM/ C</w:t>
      </w:r>
      <w:r w:rsidRPr="0095391C">
        <w:rPr>
          <w:rFonts w:asciiTheme="minorHAnsi" w:hAnsiTheme="minorHAnsi" w:cstheme="minorHAnsi"/>
          <w:noProof/>
          <w:sz w:val="22"/>
          <w:szCs w:val="22"/>
          <w:vertAlign w:val="subscript"/>
          <w:lang w:eastAsia="ja-JP"/>
        </w:rPr>
        <w:t>org</w:t>
      </w:r>
      <w:r w:rsidRPr="0095391C">
        <w:rPr>
          <w:rFonts w:asciiTheme="minorHAnsi" w:hAnsiTheme="minorHAnsi" w:cstheme="minorHAnsi"/>
          <w:noProof/>
          <w:sz w:val="22"/>
          <w:szCs w:val="22"/>
          <w:lang w:eastAsia="ja-JP"/>
        </w:rPr>
        <w:t xml:space="preserve"> (7.40%).</w:t>
      </w:r>
    </w:p>
    <w:p w14:paraId="754D3773" w14:textId="77777777" w:rsidR="00FA7473" w:rsidRPr="0095391C" w:rsidRDefault="00FA7473" w:rsidP="00FA7473">
      <w:pPr>
        <w:pStyle w:val="BodyText"/>
        <w:spacing w:beforeLines="0" w:after="0" w:line="240" w:lineRule="auto"/>
        <w:rPr>
          <w:rFonts w:ascii="Calibri" w:hAnsi="Calibri" w:cs="Calibri"/>
          <w:bCs w:val="0"/>
          <w:sz w:val="22"/>
        </w:rPr>
      </w:pPr>
    </w:p>
    <w:p w14:paraId="2E5520F4" w14:textId="61343979" w:rsidR="00FA7473" w:rsidRPr="0095391C" w:rsidRDefault="00FA7473" w:rsidP="00FA7473">
      <w:pPr>
        <w:pStyle w:val="BodyText"/>
        <w:spacing w:beforeLines="0" w:after="0" w:line="240" w:lineRule="auto"/>
        <w:rPr>
          <w:rFonts w:ascii="Calibri" w:hAnsi="Calibri" w:cs="Tahoma"/>
          <w:b/>
          <w:sz w:val="22"/>
        </w:rPr>
      </w:pPr>
      <w:r w:rsidRPr="0095391C">
        <w:rPr>
          <w:rFonts w:ascii="Calibri" w:hAnsi="Calibri" w:cs="Tahoma"/>
          <w:b/>
          <w:noProof/>
          <w:sz w:val="22"/>
        </w:rPr>
        <w:t>A</w:t>
      </w:r>
      <w:r w:rsidR="00846977" w:rsidRPr="0095391C">
        <w:rPr>
          <w:rFonts w:ascii="Calibri" w:hAnsi="Calibri" w:cs="Tahoma"/>
          <w:b/>
          <w:noProof/>
          <w:sz w:val="22"/>
        </w:rPr>
        <w:t>cknowledgments</w:t>
      </w:r>
      <w:r w:rsidR="00B51FEC" w:rsidRPr="0095391C">
        <w:rPr>
          <w:rFonts w:ascii="Calibri" w:hAnsi="Calibri" w:cs="Tahoma"/>
          <w:b/>
          <w:sz w:val="22"/>
        </w:rPr>
        <w:t xml:space="preserve"> </w:t>
      </w:r>
    </w:p>
    <w:p w14:paraId="0A4EB4C9" w14:textId="18FC22CB" w:rsidR="004A6FA1" w:rsidRPr="0095391C" w:rsidRDefault="00B51FEC" w:rsidP="00B51FEC">
      <w:pPr>
        <w:pStyle w:val="BodyText"/>
        <w:spacing w:beforeLines="0" w:after="0" w:line="240" w:lineRule="auto"/>
        <w:rPr>
          <w:rFonts w:asciiTheme="minorHAnsi" w:hAnsiTheme="minorHAnsi" w:cstheme="minorHAnsi"/>
          <w:color w:val="000000" w:themeColor="text1"/>
          <w:sz w:val="22"/>
        </w:rPr>
      </w:pPr>
      <w:r w:rsidRPr="0095391C">
        <w:rPr>
          <w:rFonts w:asciiTheme="minorHAnsi" w:hAnsiTheme="minorHAnsi" w:cstheme="minorHAnsi"/>
          <w:color w:val="000000" w:themeColor="text1"/>
          <w:sz w:val="22"/>
        </w:rPr>
        <w:t>We were thankful for the financing of this research, which was provided by PNBP Andalas University (PDU-KRPGB) under Research Contract No: T/4/UN.16.17/PP.Pangan-KRP1GB/LPPM/2021 – 30</w:t>
      </w:r>
      <w:r w:rsidRPr="0095391C">
        <w:rPr>
          <w:rFonts w:asciiTheme="minorHAnsi" w:hAnsiTheme="minorHAnsi" w:cstheme="minorHAnsi"/>
          <w:color w:val="000000" w:themeColor="text1"/>
          <w:sz w:val="22"/>
          <w:vertAlign w:val="superscript"/>
        </w:rPr>
        <w:t>th</w:t>
      </w:r>
      <w:r w:rsidRPr="0095391C">
        <w:rPr>
          <w:rFonts w:asciiTheme="minorHAnsi" w:hAnsiTheme="minorHAnsi" w:cstheme="minorHAnsi"/>
          <w:color w:val="000000" w:themeColor="text1"/>
          <w:sz w:val="22"/>
        </w:rPr>
        <w:t xml:space="preserve"> March 2021.</w:t>
      </w:r>
    </w:p>
    <w:p w14:paraId="36180818" w14:textId="77777777" w:rsidR="00B51FEC" w:rsidRPr="0095391C" w:rsidRDefault="00B51FEC" w:rsidP="00B51FEC">
      <w:pPr>
        <w:pStyle w:val="BodyText"/>
        <w:spacing w:beforeLines="0" w:after="0" w:line="240" w:lineRule="auto"/>
        <w:rPr>
          <w:rFonts w:cs="Tahoma"/>
          <w:b/>
        </w:rPr>
      </w:pPr>
    </w:p>
    <w:p w14:paraId="087A2856" w14:textId="77777777" w:rsidR="00FA7473" w:rsidRPr="0095391C" w:rsidRDefault="00FA7473" w:rsidP="00FA7473">
      <w:pPr>
        <w:spacing w:before="0" w:line="240" w:lineRule="auto"/>
        <w:rPr>
          <w:rFonts w:cs="Tahoma"/>
          <w:b/>
          <w:lang w:val="en-US"/>
        </w:rPr>
      </w:pPr>
      <w:r w:rsidRPr="0095391C">
        <w:rPr>
          <w:rFonts w:cs="Tahoma"/>
          <w:b/>
        </w:rPr>
        <w:t>REFERENCES</w:t>
      </w:r>
    </w:p>
    <w:p w14:paraId="6300FF10"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color w:val="0D0D0D" w:themeColor="text1" w:themeTint="F2"/>
        </w:rPr>
        <w:t xml:space="preserve">A. Shaaban, S. Se, N.M.M. Mitan, M.F. Dimin, (2013). Characterization of biochar derived from rubberwood sawdust through slow pyrolysis on surface porosities and functional groups, Procedia Eng. 68 </w:t>
      </w:r>
    </w:p>
    <w:p w14:paraId="38460319"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Style w:val="Hyperlink"/>
          <w:rFonts w:asciiTheme="minorHAnsi" w:hAnsiTheme="minorHAnsi" w:cstheme="minorHAnsi"/>
          <w:color w:val="000000" w:themeColor="text1"/>
        </w:rPr>
      </w:pPr>
      <w:r w:rsidRPr="0095391C">
        <w:rPr>
          <w:rFonts w:asciiTheme="minorHAnsi" w:hAnsiTheme="minorHAnsi" w:cstheme="minorHAnsi"/>
          <w:color w:val="000000" w:themeColor="text1"/>
        </w:rPr>
        <w:t xml:space="preserve">Aydin. A. (2012). Humic acid application alleviates salinity stress of bean (Phaseolus vulgaris L.) plants decreasing membrane leakage. </w:t>
      </w:r>
      <w:r w:rsidRPr="0095391C">
        <w:rPr>
          <w:rFonts w:asciiTheme="minorHAnsi" w:hAnsiTheme="minorHAnsi" w:cstheme="minorHAnsi"/>
          <w:iCs/>
          <w:color w:val="000000" w:themeColor="text1"/>
        </w:rPr>
        <w:t>African Journal of Agricultural Research</w:t>
      </w:r>
      <w:r w:rsidRPr="0095391C">
        <w:rPr>
          <w:rFonts w:asciiTheme="minorHAnsi" w:hAnsiTheme="minorHAnsi" w:cstheme="minorHAnsi"/>
          <w:color w:val="000000" w:themeColor="text1"/>
        </w:rPr>
        <w:t xml:space="preserve">, </w:t>
      </w:r>
      <w:r w:rsidRPr="0095391C">
        <w:rPr>
          <w:rFonts w:asciiTheme="minorHAnsi" w:hAnsiTheme="minorHAnsi" w:cstheme="minorHAnsi"/>
          <w:iCs/>
          <w:color w:val="000000" w:themeColor="text1"/>
        </w:rPr>
        <w:t>7</w:t>
      </w:r>
      <w:r w:rsidRPr="0095391C">
        <w:rPr>
          <w:rFonts w:asciiTheme="minorHAnsi" w:hAnsiTheme="minorHAnsi" w:cstheme="minorHAnsi"/>
          <w:color w:val="000000" w:themeColor="text1"/>
        </w:rPr>
        <w:t xml:space="preserve">(7). </w:t>
      </w:r>
      <w:hyperlink r:id="rId32" w:history="1">
        <w:r w:rsidRPr="0095391C">
          <w:rPr>
            <w:rStyle w:val="Hyperlink"/>
            <w:rFonts w:asciiTheme="minorHAnsi" w:hAnsiTheme="minorHAnsi" w:cstheme="minorHAnsi"/>
          </w:rPr>
          <w:t>https://doi.org/10.5897/ajar10.274</w:t>
        </w:r>
      </w:hyperlink>
    </w:p>
    <w:p w14:paraId="70F19A57"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color w:val="000000" w:themeColor="text1"/>
        </w:rPr>
        <w:t>Balai Penelitian Tanah. 2012 Analisis Kimia Tanah, Tanaman, Air dan Pupuk.Badan Penelitian dan Pengembangan Pertanian Departemen Pertanian pp 211</w:t>
      </w:r>
    </w:p>
    <w:p w14:paraId="7FBAE7A6"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color w:val="0D0D0D" w:themeColor="text1" w:themeTint="F2"/>
        </w:rPr>
        <w:t xml:space="preserve">C. Trigo, L. Cox, K. Spokas, (2016). Influence of pyrolysis temperature and hardwood species on resulting biochar properties and their effect on a zimsulfuron sorption as compared to other sorbents, Sci. Total Environ. 566 </w:t>
      </w:r>
    </w:p>
    <w:p w14:paraId="4055C8A9"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 xml:space="preserve">C. Tsamo, M. Assabe, J. Argue, S.O. Ihimbru, (2019). Discoloration of methylene blue and slaughterhouse wastewater using maize cob biochar produced using a constructed burning chamber: a comparative study, Sci. Afr. 3 </w:t>
      </w:r>
    </w:p>
    <w:p w14:paraId="35FFD0E3" w14:textId="77777777" w:rsidR="006D28B0" w:rsidRPr="0095391C" w:rsidRDefault="006D28B0" w:rsidP="006D28B0">
      <w:pPr>
        <w:tabs>
          <w:tab w:val="left" w:pos="720"/>
          <w:tab w:val="left" w:pos="993"/>
        </w:tabs>
        <w:spacing w:before="0" w:line="240" w:lineRule="auto"/>
        <w:ind w:left="851" w:hanging="851"/>
        <w:rPr>
          <w:rFonts w:asciiTheme="minorHAnsi" w:hAnsiTheme="minorHAnsi" w:cstheme="minorHAnsi"/>
        </w:rPr>
      </w:pPr>
      <w:r w:rsidRPr="0095391C">
        <w:rPr>
          <w:rFonts w:asciiTheme="minorHAnsi" w:hAnsiTheme="minorHAnsi" w:cstheme="minorHAnsi"/>
        </w:rPr>
        <w:t xml:space="preserve">De A, Bose R, Kumar A, Mozumdar S. (2014) Worldwide pesticide use. In Targeted delivery of pesticide using biodegradable polymeric nanoparticles. Springer, Berlin, pp 5-6 </w:t>
      </w:r>
    </w:p>
    <w:p w14:paraId="31FD77F9"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 xml:space="preserve">Derakhshan, Z.; Baghapour, M. A.; Ranjbar, M.; Faramarzian, M. (2013). Adsorption of Methylene Blue Dye from Aqueous Solutions by Modified Pumice Stone: Kinetics and Equilibrium Studies. Heal. Scope.. 2. 136–144. DOI: 10.17795/Healthscope-12492. </w:t>
      </w:r>
    </w:p>
    <w:p w14:paraId="63F04753"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 xml:space="preserve">E.Viglasova, M. Galambos, Z. Dankova, L. Krivosudský, C.L. Lengauer, R. HoodNowotny, G. Soja, A. Rompel, Ma. Matík, J. Briancin, (2018). Production, characterization and adsorption studies of bamboo-based biochar/montmorillonite composite for nitrate removal, Waste Manag. 79 </w:t>
      </w:r>
    </w:p>
    <w:p w14:paraId="13ED1A04"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El, K. A. Achour, Y.; El, H. M.; Laamari, M. R.; El, H. M. (2021). High Efficiency of Natural Safiot Clay to Remove Industrial Dyes from Aqueous Media: Kinetic, Isotherm Adsorption, and Thermodynamic Studies. Biointerface Res. Appl. Chem., 11, 12717–12731.</w:t>
      </w:r>
    </w:p>
    <w:p w14:paraId="0A0BBD49" w14:textId="77777777" w:rsidR="006D28B0" w:rsidRPr="0095391C" w:rsidRDefault="006D28B0" w:rsidP="006D28B0">
      <w:pPr>
        <w:tabs>
          <w:tab w:val="left" w:pos="720"/>
          <w:tab w:val="left" w:pos="993"/>
        </w:tabs>
        <w:spacing w:before="0" w:line="240" w:lineRule="auto"/>
        <w:ind w:left="851" w:hanging="851"/>
        <w:rPr>
          <w:rFonts w:asciiTheme="minorHAnsi" w:hAnsiTheme="minorHAnsi" w:cstheme="minorHAnsi"/>
        </w:rPr>
      </w:pPr>
      <w:r w:rsidRPr="0095391C">
        <w:rPr>
          <w:rFonts w:asciiTheme="minorHAnsi" w:hAnsiTheme="minorHAnsi" w:cstheme="minorHAnsi"/>
        </w:rPr>
        <w:t>F. Maggi, D. la Cecilia, F.H.M. Tang, A. McBratney. (2020). The global environmental hazard of glyphosate use, Sci. Total Environ. 717.</w:t>
      </w:r>
    </w:p>
    <w:p w14:paraId="7F6944F9" w14:textId="77777777" w:rsidR="006D28B0" w:rsidRPr="0095391C" w:rsidRDefault="006D28B0" w:rsidP="006D28B0">
      <w:pPr>
        <w:tabs>
          <w:tab w:val="left" w:pos="720"/>
          <w:tab w:val="left" w:pos="993"/>
        </w:tabs>
        <w:spacing w:before="0" w:line="240" w:lineRule="auto"/>
        <w:ind w:left="851" w:hanging="851"/>
        <w:rPr>
          <w:rFonts w:asciiTheme="minorHAnsi" w:hAnsiTheme="minorHAnsi" w:cstheme="minorHAnsi"/>
        </w:rPr>
      </w:pPr>
      <w:r w:rsidRPr="0095391C">
        <w:rPr>
          <w:rFonts w:asciiTheme="minorHAnsi" w:hAnsiTheme="minorHAnsi" w:cstheme="minorHAnsi"/>
        </w:rPr>
        <w:t xml:space="preserve">F.M. Flores, R.M.T. Sanchez, M.d.S. Afonso, (2018). Some aspects of the adsorption of glyphosate and its degradation products on montmorillonite, Environ. Sci. Pollut. Contr. Ser. 25 </w:t>
      </w:r>
    </w:p>
    <w:p w14:paraId="04881226"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Gupta, N. K.; Gupta, A.; Ramteke, P.; Sahoo, H.; Sengupta, A. (2019).  Biosorption-A Green Method for the Preconcentration of Rare Earth Elements (Rees) from Waste Solutions: A Review. J. Mol. Liq. 274, 148–164. DOI: 10.1016/j.molliq.2018.10.134</w:t>
      </w:r>
    </w:p>
    <w:p w14:paraId="732D01DC" w14:textId="77777777" w:rsidR="006D28B0" w:rsidRPr="0095391C" w:rsidRDefault="00E6258B" w:rsidP="006D28B0">
      <w:pPr>
        <w:widowControl w:val="0"/>
        <w:tabs>
          <w:tab w:val="num" w:pos="567"/>
          <w:tab w:val="left" w:pos="993"/>
        </w:tabs>
        <w:autoSpaceDE w:val="0"/>
        <w:autoSpaceDN w:val="0"/>
        <w:spacing w:before="0" w:line="240" w:lineRule="auto"/>
        <w:ind w:left="851" w:hanging="851"/>
        <w:rPr>
          <w:rStyle w:val="text-meta"/>
          <w:rFonts w:asciiTheme="minorHAnsi" w:hAnsiTheme="minorHAnsi" w:cstheme="minorHAnsi"/>
          <w:color w:val="000000" w:themeColor="text1"/>
        </w:rPr>
      </w:pPr>
      <w:hyperlink r:id="rId33"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Herviyanti</w:t>
        </w:r>
      </w:hyperlink>
      <w:r w:rsidR="006D28B0" w:rsidRPr="0095391C">
        <w:rPr>
          <w:rFonts w:asciiTheme="minorHAnsi" w:hAnsiTheme="minorHAnsi" w:cstheme="minorHAnsi"/>
          <w:color w:val="0D0D0D" w:themeColor="text1" w:themeTint="F2"/>
          <w:shd w:val="clear" w:color="auto" w:fill="FFFFFF"/>
        </w:rPr>
        <w:t>, </w:t>
      </w:r>
      <w:hyperlink r:id="rId34"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Maulana, A.</w:t>
        </w:r>
      </w:hyperlink>
      <w:r w:rsidR="006D28B0" w:rsidRPr="0095391C">
        <w:rPr>
          <w:rFonts w:asciiTheme="minorHAnsi" w:hAnsiTheme="minorHAnsi" w:cstheme="minorHAnsi"/>
          <w:color w:val="0D0D0D" w:themeColor="text1" w:themeTint="F2"/>
          <w:shd w:val="clear" w:color="auto" w:fill="FFFFFF"/>
        </w:rPr>
        <w:t>, </w:t>
      </w:r>
      <w:hyperlink r:id="rId35"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Lita, A.L.</w:t>
        </w:r>
      </w:hyperlink>
      <w:r w:rsidR="006D28B0" w:rsidRPr="0095391C">
        <w:rPr>
          <w:rFonts w:asciiTheme="minorHAnsi" w:hAnsiTheme="minorHAnsi" w:cstheme="minorHAnsi"/>
          <w:color w:val="0D0D0D" w:themeColor="text1" w:themeTint="F2"/>
          <w:shd w:val="clear" w:color="auto" w:fill="FFFFFF"/>
        </w:rPr>
        <w:t>, </w:t>
      </w:r>
      <w:hyperlink r:id="rId36"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Prasetyo, T.B.</w:t>
        </w:r>
      </w:hyperlink>
      <w:r w:rsidR="006D28B0" w:rsidRPr="0095391C">
        <w:rPr>
          <w:rFonts w:asciiTheme="minorHAnsi" w:hAnsiTheme="minorHAnsi" w:cstheme="minorHAnsi"/>
          <w:color w:val="0D0D0D" w:themeColor="text1" w:themeTint="F2"/>
          <w:shd w:val="clear" w:color="auto" w:fill="FFFFFF"/>
        </w:rPr>
        <w:t>, </w:t>
      </w:r>
      <w:hyperlink r:id="rId37"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Ryswaldi, R.</w:t>
        </w:r>
      </w:hyperlink>
      <w:r w:rsidR="006D28B0" w:rsidRPr="0095391C">
        <w:rPr>
          <w:rFonts w:asciiTheme="minorHAnsi" w:hAnsiTheme="minorHAnsi" w:cstheme="minorHAnsi"/>
          <w:color w:val="0D0D0D" w:themeColor="text1" w:themeTint="F2"/>
          <w:shd w:val="clear" w:color="auto" w:fill="FFFFFF"/>
        </w:rPr>
        <w:t xml:space="preserve"> (2022) Characteristics of biochar methods from bamboo as ameliorant.</w:t>
      </w:r>
      <w:r w:rsidR="006D28B0" w:rsidRPr="0095391C">
        <w:rPr>
          <w:rFonts w:asciiTheme="minorHAnsi" w:hAnsiTheme="minorHAnsi" w:cstheme="minorHAnsi"/>
          <w:color w:val="0D0D0D" w:themeColor="text1" w:themeTint="F2"/>
        </w:rPr>
        <w:t xml:space="preserve"> </w:t>
      </w:r>
      <w:hyperlink r:id="rId38" w:anchor="disabled" w:tooltip="Show document details" w:history="1">
        <w:r w:rsidR="006D28B0" w:rsidRPr="0095391C">
          <w:rPr>
            <w:rStyle w:val="linktext"/>
            <w:rFonts w:asciiTheme="minorHAnsi" w:hAnsiTheme="minorHAnsi" w:cstheme="minorHAnsi"/>
            <w:color w:val="0D0D0D" w:themeColor="text1" w:themeTint="F2"/>
            <w:bdr w:val="none" w:sz="0" w:space="0" w:color="auto" w:frame="1"/>
            <w:shd w:val="clear" w:color="auto" w:fill="FFFFFF"/>
          </w:rPr>
          <w:t>IOP Conference Series: Earth and Environmental Science</w:t>
        </w:r>
      </w:hyperlink>
      <w:r w:rsidR="006D28B0" w:rsidRPr="0095391C">
        <w:rPr>
          <w:rFonts w:asciiTheme="minorHAnsi" w:hAnsiTheme="minorHAnsi" w:cstheme="minorHAnsi"/>
          <w:color w:val="0D0D0D" w:themeColor="text1" w:themeTint="F2"/>
          <w:shd w:val="clear" w:color="auto" w:fill="FFFFFF"/>
        </w:rPr>
        <w:t>, </w:t>
      </w:r>
      <w:r w:rsidR="006D28B0" w:rsidRPr="0095391C">
        <w:rPr>
          <w:rStyle w:val="text-meta"/>
          <w:rFonts w:asciiTheme="minorHAnsi" w:hAnsiTheme="minorHAnsi" w:cstheme="minorHAnsi"/>
          <w:color w:val="0D0D0D" w:themeColor="text1" w:themeTint="F2"/>
          <w:shd w:val="clear" w:color="auto" w:fill="FFFFFF"/>
        </w:rPr>
        <w:t>X, 959(1), 012036</w:t>
      </w:r>
    </w:p>
    <w:p w14:paraId="20AD4EC2"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Kumari K. G. I. D., Per M. Marcos P. Lars E. Lis W. de Jonge. (2016) . Soil Properties Control Glyphosate Sorption in Soils Amended with Birch Wood Biochar. Water Air Soil Pollut 227:174 DOI 10.1007/s11270-016-2867-2.</w:t>
      </w:r>
    </w:p>
    <w:p w14:paraId="33B3294A" w14:textId="77777777" w:rsidR="006D28B0" w:rsidRPr="0095391C" w:rsidRDefault="006D28B0" w:rsidP="006D28B0">
      <w:pPr>
        <w:tabs>
          <w:tab w:val="left" w:pos="720"/>
          <w:tab w:val="left" w:pos="993"/>
        </w:tabs>
        <w:spacing w:before="0" w:line="240" w:lineRule="auto"/>
        <w:ind w:left="851" w:hanging="851"/>
        <w:rPr>
          <w:rFonts w:asciiTheme="minorHAnsi" w:hAnsiTheme="minorHAnsi" w:cstheme="minorHAnsi"/>
        </w:rPr>
      </w:pPr>
      <w:r w:rsidRPr="0095391C">
        <w:rPr>
          <w:rFonts w:asciiTheme="minorHAnsi" w:hAnsiTheme="minorHAnsi" w:cstheme="minorHAnsi"/>
        </w:rPr>
        <w:lastRenderedPageBreak/>
        <w:t xml:space="preserve">L. Caceres-Jensen, J. Rodríguez-Becerra, P. Sierra-Rosales. (2019). Electrochemical method to study the environmental behavior of Glyphosate on volcanic soils: Proposal of adsorption-desorption and transport mechanisms, J. Hazard Mater. 379 </w:t>
      </w:r>
    </w:p>
    <w:p w14:paraId="7B43DA4A" w14:textId="2B06D6D6" w:rsidR="006D28B0" w:rsidRPr="0095391C" w:rsidRDefault="00E6258B" w:rsidP="006D28B0">
      <w:pPr>
        <w:widowControl w:val="0"/>
        <w:tabs>
          <w:tab w:val="num" w:pos="567"/>
          <w:tab w:val="left" w:pos="993"/>
        </w:tabs>
        <w:autoSpaceDE w:val="0"/>
        <w:autoSpaceDN w:val="0"/>
        <w:spacing w:before="0" w:line="240" w:lineRule="auto"/>
        <w:ind w:left="851" w:hanging="851"/>
        <w:rPr>
          <w:rStyle w:val="text-meta"/>
          <w:rFonts w:asciiTheme="minorHAnsi" w:hAnsiTheme="minorHAnsi" w:cstheme="minorHAnsi"/>
          <w:color w:val="000000" w:themeColor="text1"/>
        </w:rPr>
      </w:pPr>
      <w:hyperlink r:id="rId39"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Lita,A.L.</w:t>
        </w:r>
      </w:hyperlink>
      <w:r w:rsidR="006D28B0" w:rsidRPr="0095391C">
        <w:rPr>
          <w:rFonts w:asciiTheme="minorHAnsi" w:hAnsiTheme="minorHAnsi" w:cstheme="minorHAnsi"/>
          <w:color w:val="0D0D0D" w:themeColor="text1" w:themeTint="F2"/>
          <w:shd w:val="clear" w:color="auto" w:fill="FFFFFF"/>
        </w:rPr>
        <w:t>, </w:t>
      </w:r>
      <w:hyperlink r:id="rId40"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Maulana,A.</w:t>
        </w:r>
      </w:hyperlink>
      <w:r w:rsidR="006D28B0" w:rsidRPr="0095391C">
        <w:rPr>
          <w:rFonts w:asciiTheme="minorHAnsi" w:hAnsiTheme="minorHAnsi" w:cstheme="minorHAnsi"/>
          <w:color w:val="0D0D0D" w:themeColor="text1" w:themeTint="F2"/>
          <w:shd w:val="clear" w:color="auto" w:fill="FFFFFF"/>
        </w:rPr>
        <w:t>, </w:t>
      </w:r>
      <w:hyperlink r:id="rId41"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Yulnafatmawita</w:t>
        </w:r>
      </w:hyperlink>
      <w:r w:rsidR="006D28B0" w:rsidRPr="0095391C">
        <w:rPr>
          <w:rFonts w:asciiTheme="minorHAnsi" w:hAnsiTheme="minorHAnsi" w:cstheme="minorHAnsi"/>
          <w:color w:val="0D0D0D" w:themeColor="text1" w:themeTint="F2"/>
          <w:shd w:val="clear" w:color="auto" w:fill="FFFFFF"/>
        </w:rPr>
        <w:t>, </w:t>
      </w:r>
      <w:hyperlink r:id="rId42"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Herviyanti</w:t>
        </w:r>
      </w:hyperlink>
      <w:r w:rsidR="006D28B0" w:rsidRPr="0095391C">
        <w:rPr>
          <w:rFonts w:asciiTheme="minorHAnsi" w:hAnsiTheme="minorHAnsi" w:cstheme="minorHAnsi"/>
          <w:color w:val="0D0D0D" w:themeColor="text1" w:themeTint="F2"/>
          <w:shd w:val="clear" w:color="auto" w:fill="FFFFFF"/>
        </w:rPr>
        <w:t>, </w:t>
      </w:r>
      <w:hyperlink r:id="rId43"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Ryswaldi, R.</w:t>
        </w:r>
      </w:hyperlink>
      <w:r w:rsidR="006D28B0" w:rsidRPr="0095391C">
        <w:rPr>
          <w:rFonts w:asciiTheme="minorHAnsi" w:hAnsiTheme="minorHAnsi" w:cstheme="minorHAnsi"/>
          <w:color w:val="0D0D0D" w:themeColor="text1" w:themeTint="F2"/>
          <w:shd w:val="clear" w:color="auto" w:fill="FFFFFF"/>
        </w:rPr>
        <w:t xml:space="preserve"> (</w:t>
      </w:r>
      <w:r w:rsidR="006D28B0" w:rsidRPr="0095391C">
        <w:rPr>
          <w:rStyle w:val="text-meta"/>
          <w:rFonts w:asciiTheme="minorHAnsi" w:hAnsiTheme="minorHAnsi" w:cstheme="minorHAnsi"/>
          <w:color w:val="0D0D0D" w:themeColor="text1" w:themeTint="F2"/>
          <w:shd w:val="clear" w:color="auto" w:fill="FFFFFF"/>
        </w:rPr>
        <w:t>2022</w:t>
      </w:r>
      <w:r w:rsidR="006D28B0" w:rsidRPr="0095391C">
        <w:rPr>
          <w:rFonts w:asciiTheme="minorHAnsi" w:hAnsiTheme="minorHAnsi" w:cstheme="minorHAnsi"/>
          <w:color w:val="0D0D0D" w:themeColor="text1" w:themeTint="F2"/>
          <w:shd w:val="clear" w:color="auto" w:fill="FFFFFF"/>
        </w:rPr>
        <w:t xml:space="preserve">) Characteristics Biochar from Young Coconut Waste based on Particle Size as Ameliorant. </w:t>
      </w:r>
      <w:hyperlink r:id="rId44" w:anchor="disabled" w:tooltip="Show document details" w:history="1">
        <w:r w:rsidR="006D28B0" w:rsidRPr="0095391C">
          <w:rPr>
            <w:rStyle w:val="linktext"/>
            <w:rFonts w:asciiTheme="minorHAnsi" w:hAnsiTheme="minorHAnsi" w:cstheme="minorHAnsi"/>
            <w:color w:val="0D0D0D" w:themeColor="text1" w:themeTint="F2"/>
            <w:bdr w:val="none" w:sz="0" w:space="0" w:color="auto" w:frame="1"/>
            <w:shd w:val="clear" w:color="auto" w:fill="FFFFFF"/>
          </w:rPr>
          <w:t>IOP Conference Series: Earth and Environmental Science</w:t>
        </w:r>
      </w:hyperlink>
      <w:r w:rsidR="006D28B0" w:rsidRPr="0095391C">
        <w:rPr>
          <w:rFonts w:asciiTheme="minorHAnsi" w:hAnsiTheme="minorHAnsi" w:cstheme="minorHAnsi"/>
          <w:color w:val="0D0D0D" w:themeColor="text1" w:themeTint="F2"/>
          <w:shd w:val="clear" w:color="auto" w:fill="FFFFFF"/>
        </w:rPr>
        <w:t>, </w:t>
      </w:r>
      <w:r w:rsidR="006D28B0" w:rsidRPr="0095391C">
        <w:rPr>
          <w:rStyle w:val="text-meta"/>
          <w:rFonts w:asciiTheme="minorHAnsi" w:hAnsiTheme="minorHAnsi" w:cstheme="minorHAnsi"/>
          <w:color w:val="0D0D0D" w:themeColor="text1" w:themeTint="F2"/>
          <w:shd w:val="clear" w:color="auto" w:fill="FFFFFF"/>
        </w:rPr>
        <w:t xml:space="preserve"> 959(1), 012034</w:t>
      </w:r>
    </w:p>
    <w:p w14:paraId="751A43FD" w14:textId="77777777" w:rsidR="006D28B0" w:rsidRPr="0095391C" w:rsidRDefault="00E6258B" w:rsidP="006D28B0">
      <w:pPr>
        <w:widowControl w:val="0"/>
        <w:tabs>
          <w:tab w:val="num" w:pos="567"/>
          <w:tab w:val="left" w:pos="993"/>
        </w:tabs>
        <w:autoSpaceDE w:val="0"/>
        <w:autoSpaceDN w:val="0"/>
        <w:spacing w:before="0" w:line="240" w:lineRule="auto"/>
        <w:ind w:left="851" w:hanging="851"/>
        <w:rPr>
          <w:rStyle w:val="text-meta"/>
          <w:rFonts w:asciiTheme="minorHAnsi" w:hAnsiTheme="minorHAnsi" w:cstheme="minorHAnsi"/>
          <w:color w:val="000000" w:themeColor="text1"/>
        </w:rPr>
      </w:pPr>
      <w:hyperlink r:id="rId45"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Maulana, A.</w:t>
        </w:r>
      </w:hyperlink>
      <w:r w:rsidR="006D28B0" w:rsidRPr="0095391C">
        <w:rPr>
          <w:rFonts w:asciiTheme="minorHAnsi" w:hAnsiTheme="minorHAnsi" w:cstheme="minorHAnsi"/>
          <w:color w:val="0D0D0D" w:themeColor="text1" w:themeTint="F2"/>
          <w:shd w:val="clear" w:color="auto" w:fill="FFFFFF"/>
        </w:rPr>
        <w:t>, </w:t>
      </w:r>
      <w:hyperlink r:id="rId46"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Herviyanti</w:t>
        </w:r>
      </w:hyperlink>
      <w:r w:rsidR="006D28B0" w:rsidRPr="0095391C">
        <w:rPr>
          <w:rFonts w:asciiTheme="minorHAnsi" w:hAnsiTheme="minorHAnsi" w:cstheme="minorHAnsi"/>
          <w:color w:val="0D0D0D" w:themeColor="text1" w:themeTint="F2"/>
          <w:shd w:val="clear" w:color="auto" w:fill="FFFFFF"/>
        </w:rPr>
        <w:t>, </w:t>
      </w:r>
      <w:hyperlink r:id="rId47"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Prasetyo, T.B.</w:t>
        </w:r>
      </w:hyperlink>
      <w:r w:rsidR="006D28B0" w:rsidRPr="0095391C">
        <w:rPr>
          <w:rFonts w:asciiTheme="minorHAnsi" w:hAnsiTheme="minorHAnsi" w:cstheme="minorHAnsi"/>
          <w:color w:val="0D0D0D" w:themeColor="text1" w:themeTint="F2"/>
          <w:shd w:val="clear" w:color="auto" w:fill="FFFFFF"/>
        </w:rPr>
        <w:t>, </w:t>
      </w:r>
      <w:hyperlink r:id="rId48"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Harianti, M.</w:t>
        </w:r>
      </w:hyperlink>
      <w:r w:rsidR="006D28B0" w:rsidRPr="0095391C">
        <w:rPr>
          <w:rFonts w:asciiTheme="minorHAnsi" w:hAnsiTheme="minorHAnsi" w:cstheme="minorHAnsi"/>
          <w:color w:val="0D0D0D" w:themeColor="text1" w:themeTint="F2"/>
          <w:shd w:val="clear" w:color="auto" w:fill="FFFFFF"/>
        </w:rPr>
        <w:t>, </w:t>
      </w:r>
      <w:hyperlink r:id="rId49" w:history="1">
        <w:r w:rsidR="006D28B0" w:rsidRPr="0095391C">
          <w:rPr>
            <w:rStyle w:val="typography"/>
            <w:rFonts w:asciiTheme="minorHAnsi" w:hAnsiTheme="minorHAnsi" w:cstheme="minorHAnsi"/>
            <w:color w:val="0D0D0D" w:themeColor="text1" w:themeTint="F2"/>
            <w:bdr w:val="none" w:sz="0" w:space="0" w:color="auto" w:frame="1"/>
            <w:shd w:val="clear" w:color="auto" w:fill="FFFFFF"/>
          </w:rPr>
          <w:t>Lita, A.L.</w:t>
        </w:r>
      </w:hyperlink>
      <w:r w:rsidR="006D28B0" w:rsidRPr="0095391C">
        <w:rPr>
          <w:rFonts w:asciiTheme="minorHAnsi" w:hAnsiTheme="minorHAnsi" w:cstheme="minorHAnsi"/>
          <w:color w:val="0D0D0D" w:themeColor="text1" w:themeTint="F2"/>
          <w:shd w:val="clear" w:color="auto" w:fill="FFFFFF"/>
        </w:rPr>
        <w:t xml:space="preserve"> (</w:t>
      </w:r>
      <w:r w:rsidR="006D28B0" w:rsidRPr="0095391C">
        <w:rPr>
          <w:rStyle w:val="text-meta"/>
          <w:rFonts w:asciiTheme="minorHAnsi" w:hAnsiTheme="minorHAnsi" w:cstheme="minorHAnsi"/>
          <w:color w:val="0D0D0D" w:themeColor="text1" w:themeTint="F2"/>
          <w:shd w:val="clear" w:color="auto" w:fill="FFFFFF"/>
        </w:rPr>
        <w:t xml:space="preserve">2022) </w:t>
      </w:r>
      <w:r w:rsidR="006D28B0" w:rsidRPr="0095391C">
        <w:rPr>
          <w:rFonts w:asciiTheme="minorHAnsi" w:hAnsiTheme="minorHAnsi" w:cstheme="minorHAnsi"/>
          <w:color w:val="0D0D0D" w:themeColor="text1" w:themeTint="F2"/>
          <w:shd w:val="clear" w:color="auto" w:fill="FFFFFF"/>
        </w:rPr>
        <w:t>Effect of Pyrolysis Methods on Characteristics of Biochar from Young Coconut Waste as Ameliorant.</w:t>
      </w:r>
      <w:r w:rsidR="006D28B0" w:rsidRPr="0095391C">
        <w:rPr>
          <w:rFonts w:asciiTheme="minorHAnsi" w:hAnsiTheme="minorHAnsi" w:cstheme="minorHAnsi"/>
          <w:color w:val="0D0D0D" w:themeColor="text1" w:themeTint="F2"/>
        </w:rPr>
        <w:t xml:space="preserve"> </w:t>
      </w:r>
      <w:hyperlink r:id="rId50" w:anchor="disabled" w:tooltip="Show document details" w:history="1">
        <w:r w:rsidR="006D28B0" w:rsidRPr="0095391C">
          <w:rPr>
            <w:rStyle w:val="linktext"/>
            <w:rFonts w:asciiTheme="minorHAnsi" w:hAnsiTheme="minorHAnsi" w:cstheme="minorHAnsi"/>
            <w:color w:val="0D0D0D" w:themeColor="text1" w:themeTint="F2"/>
            <w:bdr w:val="none" w:sz="0" w:space="0" w:color="auto" w:frame="1"/>
            <w:shd w:val="clear" w:color="auto" w:fill="FFFFFF"/>
          </w:rPr>
          <w:t>IOP Conference Series: Earth and Environmental Science</w:t>
        </w:r>
      </w:hyperlink>
      <w:r w:rsidR="006D28B0" w:rsidRPr="0095391C">
        <w:rPr>
          <w:rFonts w:asciiTheme="minorHAnsi" w:hAnsiTheme="minorHAnsi" w:cstheme="minorHAnsi"/>
          <w:color w:val="0D0D0D" w:themeColor="text1" w:themeTint="F2"/>
        </w:rPr>
        <w:t>,</w:t>
      </w:r>
      <w:r w:rsidR="006D28B0" w:rsidRPr="0095391C">
        <w:rPr>
          <w:rFonts w:asciiTheme="minorHAnsi" w:hAnsiTheme="minorHAnsi" w:cstheme="minorHAnsi"/>
          <w:color w:val="0D0D0D" w:themeColor="text1" w:themeTint="F2"/>
          <w:shd w:val="clear" w:color="auto" w:fill="FFFFFF"/>
        </w:rPr>
        <w:t> </w:t>
      </w:r>
      <w:r w:rsidR="006D28B0" w:rsidRPr="0095391C">
        <w:rPr>
          <w:rStyle w:val="text-meta"/>
          <w:rFonts w:asciiTheme="minorHAnsi" w:hAnsiTheme="minorHAnsi" w:cstheme="minorHAnsi"/>
          <w:color w:val="0D0D0D" w:themeColor="text1" w:themeTint="F2"/>
          <w:shd w:val="clear" w:color="auto" w:fill="FFFFFF"/>
        </w:rPr>
        <w:t xml:space="preserve"> 959(1), 012035</w:t>
      </w:r>
    </w:p>
    <w:p w14:paraId="0BAF2B89"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Style w:val="Hyperlink"/>
          <w:rFonts w:asciiTheme="minorHAnsi" w:hAnsiTheme="minorHAnsi" w:cstheme="minorHAnsi"/>
          <w:color w:val="000000" w:themeColor="text1"/>
        </w:rPr>
      </w:pPr>
      <w:r w:rsidRPr="0095391C">
        <w:rPr>
          <w:rFonts w:asciiTheme="minorHAnsi" w:hAnsiTheme="minorHAnsi" w:cstheme="minorHAnsi"/>
          <w:color w:val="000000" w:themeColor="text1"/>
        </w:rPr>
        <w:t xml:space="preserve">Mindari, W., Aini, N., &amp; Kusuma, Z. (2014). Effects of humic acid-based buffer + cation on chemical characteristics of saline soils and maize growth. </w:t>
      </w:r>
      <w:r w:rsidRPr="0095391C">
        <w:rPr>
          <w:rFonts w:asciiTheme="minorHAnsi" w:hAnsiTheme="minorHAnsi" w:cstheme="minorHAnsi"/>
          <w:iCs/>
          <w:color w:val="000000" w:themeColor="text1"/>
        </w:rPr>
        <w:t>Journal of Degraded and Mining Lands Management</w:t>
      </w:r>
      <w:r w:rsidRPr="0095391C">
        <w:rPr>
          <w:rFonts w:asciiTheme="minorHAnsi" w:hAnsiTheme="minorHAnsi" w:cstheme="minorHAnsi"/>
          <w:color w:val="000000" w:themeColor="text1"/>
        </w:rPr>
        <w:t xml:space="preserve">, </w:t>
      </w:r>
      <w:r w:rsidRPr="0095391C">
        <w:rPr>
          <w:rFonts w:asciiTheme="minorHAnsi" w:hAnsiTheme="minorHAnsi" w:cstheme="minorHAnsi"/>
          <w:iCs/>
          <w:color w:val="000000" w:themeColor="text1"/>
        </w:rPr>
        <w:t>2</w:t>
      </w:r>
      <w:r w:rsidRPr="0095391C">
        <w:rPr>
          <w:rFonts w:asciiTheme="minorHAnsi" w:hAnsiTheme="minorHAnsi" w:cstheme="minorHAnsi"/>
          <w:color w:val="000000" w:themeColor="text1"/>
        </w:rPr>
        <w:t xml:space="preserve">(1), 259–268. </w:t>
      </w:r>
      <w:hyperlink r:id="rId51" w:history="1">
        <w:r w:rsidRPr="0095391C">
          <w:rPr>
            <w:rStyle w:val="Hyperlink"/>
            <w:rFonts w:asciiTheme="minorHAnsi" w:hAnsiTheme="minorHAnsi" w:cstheme="minorHAnsi"/>
          </w:rPr>
          <w:t>https://doi.org/10.15243/jdmlm.2014.021.259</w:t>
        </w:r>
      </w:hyperlink>
    </w:p>
    <w:p w14:paraId="5A25EC87"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 xml:space="preserve">Premarathna, K.S.D. A.U. Rajapaksha, N. Adassoriya, B. Sarkar, N.M.S. Sirimuthu, A. Cooray, Y.S. Ok, M. Vithanage, (2019). Clay-biochar composites for sorptive removal of tetracycline antibiotics in aqueous media, J. Environ. Manag. 238 </w:t>
      </w:r>
    </w:p>
    <w:p w14:paraId="7BEFD500"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Style w:val="Hyperlink"/>
          <w:rFonts w:asciiTheme="minorHAnsi" w:hAnsiTheme="minorHAnsi" w:cstheme="minorHAnsi"/>
          <w:color w:val="000000" w:themeColor="text1"/>
        </w:rPr>
      </w:pPr>
      <w:r w:rsidRPr="0095391C">
        <w:rPr>
          <w:rFonts w:asciiTheme="minorHAnsi" w:hAnsiTheme="minorHAnsi" w:cstheme="minorHAnsi"/>
          <w:color w:val="000000" w:themeColor="text1"/>
        </w:rPr>
        <w:t xml:space="preserve">Preocanin, T., Abdelmonem, A., Montavon, G., &amp; Luetzenkirchen, J. (2016). Charging Behavior of Clays and Clay Minerals in Aqueous Electrolyte Solutions  Experimental Methods for Measuring the Charge and Interpreting the Results. </w:t>
      </w:r>
      <w:r w:rsidRPr="0095391C">
        <w:rPr>
          <w:rFonts w:asciiTheme="minorHAnsi" w:hAnsiTheme="minorHAnsi" w:cstheme="minorHAnsi"/>
          <w:iCs/>
          <w:color w:val="000000" w:themeColor="text1"/>
        </w:rPr>
        <w:t>Clays, Clay Minerals, and Ceramic Materials Based on Clay Minerals</w:t>
      </w:r>
      <w:r w:rsidRPr="0095391C">
        <w:rPr>
          <w:rFonts w:asciiTheme="minorHAnsi" w:hAnsiTheme="minorHAnsi" w:cstheme="minorHAnsi"/>
          <w:color w:val="000000" w:themeColor="text1"/>
        </w:rPr>
        <w:t xml:space="preserve">. </w:t>
      </w:r>
      <w:hyperlink r:id="rId52" w:history="1">
        <w:r w:rsidRPr="0095391C">
          <w:rPr>
            <w:rStyle w:val="Hyperlink"/>
            <w:rFonts w:asciiTheme="minorHAnsi" w:hAnsiTheme="minorHAnsi" w:cstheme="minorHAnsi"/>
          </w:rPr>
          <w:t>https://doi.org/10.5772/62082</w:t>
        </w:r>
      </w:hyperlink>
    </w:p>
    <w:p w14:paraId="3ACB58A9"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Robert L. Glass. (1981). Colorimetric Determination of Glyphosate in Water after Oxidation to orthophosphate.  Analytical Chemistry, Vol 53. 923 – 924.</w:t>
      </w:r>
    </w:p>
    <w:p w14:paraId="26152862"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rPr>
        <w:t xml:space="preserve">S. Liu, J. Li, S. Xu, M. Wang, Y. Zhang, X. Xue, (2019). A modified method for enhancing adsorption capability of banana pseudostem biochar towards methylene blue at low temperature, Bioresour. Technol. 282 </w:t>
      </w:r>
    </w:p>
    <w:p w14:paraId="14BAFB0A"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rPr>
      </w:pPr>
      <w:r w:rsidRPr="0095391C">
        <w:rPr>
          <w:rFonts w:asciiTheme="minorHAnsi" w:hAnsiTheme="minorHAnsi" w:cstheme="minorHAnsi"/>
          <w:color w:val="000000" w:themeColor="text1"/>
        </w:rPr>
        <w:t>Singh, B., Camps-Arbestain, M., and Lehmann, J. (2017). Biochar: A Guide to Analytical Methods. Boca Raton: CRC Press.</w:t>
      </w:r>
    </w:p>
    <w:p w14:paraId="643D7464" w14:textId="77777777" w:rsidR="006D28B0" w:rsidRPr="0095391C"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rPr>
      </w:pPr>
      <w:r w:rsidRPr="0095391C">
        <w:rPr>
          <w:rFonts w:asciiTheme="minorHAnsi" w:hAnsiTheme="minorHAnsi" w:cstheme="minorHAnsi"/>
        </w:rPr>
        <w:t>Tevez, R. M. Afonso, (2015). pH dependence of Glyphosate adsorption on soil horizons, Bol. Soc. Geol. Mex. 67 (3) 509–516</w:t>
      </w:r>
    </w:p>
    <w:p w14:paraId="24A6FE4A" w14:textId="77777777" w:rsidR="006D28B0" w:rsidRPr="0095391C" w:rsidRDefault="006D28B0" w:rsidP="006D28B0">
      <w:pPr>
        <w:tabs>
          <w:tab w:val="left" w:pos="720"/>
          <w:tab w:val="left" w:pos="993"/>
        </w:tabs>
        <w:spacing w:before="0" w:line="240" w:lineRule="auto"/>
        <w:ind w:left="851" w:hanging="851"/>
        <w:rPr>
          <w:rFonts w:asciiTheme="minorHAnsi" w:hAnsiTheme="minorHAnsi" w:cstheme="minorHAnsi"/>
        </w:rPr>
      </w:pPr>
      <w:r w:rsidRPr="0095391C">
        <w:rPr>
          <w:rFonts w:asciiTheme="minorHAnsi" w:hAnsiTheme="minorHAnsi" w:cstheme="minorHAnsi"/>
        </w:rPr>
        <w:t xml:space="preserve">Varjani, S. G. Kumar, E.R. Rene. (2019). Developments in biochar application for pesticide remediation: current knowledge and future research directions, J. Environ. Manag. 232 </w:t>
      </w:r>
    </w:p>
    <w:p w14:paraId="2D9D9BF9" w14:textId="7134657E" w:rsidR="00A663CA" w:rsidRPr="006D28B0" w:rsidRDefault="006D28B0" w:rsidP="006D28B0">
      <w:pPr>
        <w:widowControl w:val="0"/>
        <w:tabs>
          <w:tab w:val="num" w:pos="567"/>
          <w:tab w:val="left" w:pos="993"/>
        </w:tabs>
        <w:autoSpaceDE w:val="0"/>
        <w:autoSpaceDN w:val="0"/>
        <w:spacing w:before="0" w:line="240" w:lineRule="auto"/>
        <w:ind w:left="851" w:hanging="851"/>
        <w:rPr>
          <w:rFonts w:asciiTheme="minorHAnsi" w:hAnsiTheme="minorHAnsi" w:cstheme="minorHAnsi"/>
          <w:color w:val="000000" w:themeColor="text1"/>
          <w:lang w:val="en-US"/>
        </w:rPr>
      </w:pPr>
      <w:r w:rsidRPr="0095391C">
        <w:rPr>
          <w:rFonts w:asciiTheme="minorHAnsi" w:hAnsiTheme="minorHAnsi" w:cstheme="minorHAnsi"/>
        </w:rPr>
        <w:t>X. Wang, Y. Gu, X. Tan, Y. Liu, Y. Zhou, X. Hu, X. Cai, W. Xu, C. Zhang, S. Liu, (2019). Functionalized biochar/clay composites for reducing the bioavailable fraction of arsenic and cadmium in river sediment, Environ. Toxicol. Chem. 38</w:t>
      </w:r>
      <w:r w:rsidRPr="006D28B0">
        <w:rPr>
          <w:rFonts w:asciiTheme="minorHAnsi" w:hAnsiTheme="minorHAnsi" w:cstheme="minorHAnsi"/>
        </w:rPr>
        <w:t xml:space="preserve"> </w:t>
      </w:r>
    </w:p>
    <w:bookmarkEnd w:id="0"/>
    <w:bookmarkEnd w:id="1"/>
    <w:p w14:paraId="17EA66BF" w14:textId="77777777" w:rsidR="00A663CA" w:rsidRPr="00A663CA" w:rsidRDefault="00A663CA" w:rsidP="00FA7473">
      <w:pPr>
        <w:spacing w:before="0" w:line="240" w:lineRule="auto"/>
        <w:rPr>
          <w:rFonts w:cs="Tahoma"/>
          <w:b/>
          <w:lang w:val="en-US"/>
        </w:rPr>
      </w:pPr>
    </w:p>
    <w:sectPr w:rsidR="00A663CA" w:rsidRPr="00A663CA" w:rsidSect="00AD64C9">
      <w:pgSz w:w="11906" w:h="16838"/>
      <w:pgMar w:top="1985" w:right="1440" w:bottom="1440" w:left="1440" w:header="708" w:footer="510" w:gutter="0"/>
      <w:lnNumType w:countBy="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26010" w14:textId="77777777" w:rsidR="00E6258B" w:rsidRDefault="00E6258B" w:rsidP="005D50A1">
      <w:pPr>
        <w:spacing w:before="0" w:line="240" w:lineRule="auto"/>
      </w:pPr>
      <w:r>
        <w:separator/>
      </w:r>
    </w:p>
  </w:endnote>
  <w:endnote w:type="continuationSeparator" w:id="0">
    <w:p w14:paraId="3FF4A30B" w14:textId="77777777" w:rsidR="00E6258B" w:rsidRDefault="00E6258B" w:rsidP="005D50A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5363" w14:textId="77777777" w:rsidR="00C54385" w:rsidRPr="00FA7473" w:rsidRDefault="00C54385" w:rsidP="00620097">
    <w:pPr>
      <w:pStyle w:val="Footer"/>
      <w:jc w:val="cen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D53B" w14:textId="77777777" w:rsidR="00C54385" w:rsidRPr="00737CD8" w:rsidRDefault="00C54385" w:rsidP="005D50A1">
    <w:pPr>
      <w:pStyle w:val="Footer"/>
      <w:jc w:val="center"/>
      <w:rPr>
        <w:i/>
        <w:i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8F575" w14:textId="77777777" w:rsidR="00E6258B" w:rsidRDefault="00E6258B" w:rsidP="005D50A1">
      <w:pPr>
        <w:spacing w:before="0" w:line="240" w:lineRule="auto"/>
      </w:pPr>
      <w:r>
        <w:separator/>
      </w:r>
    </w:p>
  </w:footnote>
  <w:footnote w:type="continuationSeparator" w:id="0">
    <w:p w14:paraId="51BD137C" w14:textId="77777777" w:rsidR="00E6258B" w:rsidRDefault="00E6258B" w:rsidP="005D50A1">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E2AA3"/>
    <w:multiLevelType w:val="hybridMultilevel"/>
    <w:tmpl w:val="E18C5AE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89159A4"/>
    <w:multiLevelType w:val="hybridMultilevel"/>
    <w:tmpl w:val="83AA73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226EBB8">
      <w:start w:val="1"/>
      <w:numFmt w:val="bullet"/>
      <w:lvlText w:val="•"/>
      <w:lvlJc w:val="left"/>
      <w:pPr>
        <w:ind w:left="2670" w:hanging="690"/>
      </w:pPr>
      <w:rPr>
        <w:rFonts w:ascii="Calibri" w:eastAsia="Times New Roman" w:hAnsi="Calibri"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A35D3"/>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55A8C"/>
    <w:multiLevelType w:val="hybridMultilevel"/>
    <w:tmpl w:val="691CE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18087D"/>
    <w:multiLevelType w:val="hybridMultilevel"/>
    <w:tmpl w:val="D9C889FE"/>
    <w:lvl w:ilvl="0" w:tplc="9C0AAC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075383"/>
    <w:multiLevelType w:val="hybridMultilevel"/>
    <w:tmpl w:val="1A64F78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2E663661"/>
    <w:multiLevelType w:val="hybridMultilevel"/>
    <w:tmpl w:val="CE647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840A8"/>
    <w:multiLevelType w:val="hybridMultilevel"/>
    <w:tmpl w:val="570CB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6F6C7C"/>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4533F2"/>
    <w:multiLevelType w:val="hybridMultilevel"/>
    <w:tmpl w:val="0C8E1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204A7D"/>
    <w:multiLevelType w:val="hybridMultilevel"/>
    <w:tmpl w:val="9FF63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00518F"/>
    <w:multiLevelType w:val="hybridMultilevel"/>
    <w:tmpl w:val="4768B90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C058B2"/>
    <w:multiLevelType w:val="hybridMultilevel"/>
    <w:tmpl w:val="209C5AA0"/>
    <w:lvl w:ilvl="0" w:tplc="05B8C7BC">
      <w:start w:val="1"/>
      <w:numFmt w:val="decimal"/>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29481F"/>
    <w:multiLevelType w:val="hybridMultilevel"/>
    <w:tmpl w:val="1E725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F835FB"/>
    <w:multiLevelType w:val="hybridMultilevel"/>
    <w:tmpl w:val="2D4C1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6" w15:restartNumberingAfterBreak="0">
    <w:nsid w:val="754355EE"/>
    <w:multiLevelType w:val="hybridMultilevel"/>
    <w:tmpl w:val="870EA2A8"/>
    <w:lvl w:ilvl="0" w:tplc="6322679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8175893"/>
    <w:multiLevelType w:val="hybridMultilevel"/>
    <w:tmpl w:val="72161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687302"/>
    <w:multiLevelType w:val="multilevel"/>
    <w:tmpl w:val="D6D2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20979">
    <w:abstractNumId w:val="7"/>
  </w:num>
  <w:num w:numId="2" w16cid:durableId="1033268949">
    <w:abstractNumId w:val="11"/>
  </w:num>
  <w:num w:numId="3" w16cid:durableId="1706444002">
    <w:abstractNumId w:val="6"/>
  </w:num>
  <w:num w:numId="4" w16cid:durableId="1807579440">
    <w:abstractNumId w:val="14"/>
  </w:num>
  <w:num w:numId="5" w16cid:durableId="288901654">
    <w:abstractNumId w:val="17"/>
  </w:num>
  <w:num w:numId="6" w16cid:durableId="1361472684">
    <w:abstractNumId w:val="13"/>
  </w:num>
  <w:num w:numId="7" w16cid:durableId="1467165715">
    <w:abstractNumId w:val="9"/>
  </w:num>
  <w:num w:numId="8" w16cid:durableId="1173110968">
    <w:abstractNumId w:val="4"/>
  </w:num>
  <w:num w:numId="9" w16cid:durableId="622005463">
    <w:abstractNumId w:val="8"/>
  </w:num>
  <w:num w:numId="10" w16cid:durableId="1056702610">
    <w:abstractNumId w:val="1"/>
  </w:num>
  <w:num w:numId="11" w16cid:durableId="198519028">
    <w:abstractNumId w:val="2"/>
  </w:num>
  <w:num w:numId="12" w16cid:durableId="677738385">
    <w:abstractNumId w:val="0"/>
  </w:num>
  <w:num w:numId="13" w16cid:durableId="563150854">
    <w:abstractNumId w:val="5"/>
  </w:num>
  <w:num w:numId="14" w16cid:durableId="10433334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846399">
    <w:abstractNumId w:val="15"/>
  </w:num>
  <w:num w:numId="16" w16cid:durableId="1552421691">
    <w:abstractNumId w:val="12"/>
  </w:num>
  <w:num w:numId="17" w16cid:durableId="1237283399">
    <w:abstractNumId w:val="3"/>
  </w:num>
  <w:num w:numId="18" w16cid:durableId="1819810158">
    <w:abstractNumId w:val="18"/>
  </w:num>
  <w:num w:numId="19" w16cid:durableId="14833470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QzMzIwM7EwszQ3NTZQ0lEKTi0uzszPAykwqwUAMnA18iwAAAA="/>
  </w:docVars>
  <w:rsids>
    <w:rsidRoot w:val="00B0712E"/>
    <w:rsid w:val="0000095B"/>
    <w:rsid w:val="00003589"/>
    <w:rsid w:val="00004B26"/>
    <w:rsid w:val="000136ED"/>
    <w:rsid w:val="0001410C"/>
    <w:rsid w:val="000167EF"/>
    <w:rsid w:val="0002394C"/>
    <w:rsid w:val="00034E4B"/>
    <w:rsid w:val="00035F41"/>
    <w:rsid w:val="00047004"/>
    <w:rsid w:val="0007218F"/>
    <w:rsid w:val="000722FE"/>
    <w:rsid w:val="0008117A"/>
    <w:rsid w:val="00082C07"/>
    <w:rsid w:val="000840AE"/>
    <w:rsid w:val="0008595A"/>
    <w:rsid w:val="0008721D"/>
    <w:rsid w:val="000A570F"/>
    <w:rsid w:val="000A6B5E"/>
    <w:rsid w:val="000B0BAB"/>
    <w:rsid w:val="000C0887"/>
    <w:rsid w:val="000C0A6C"/>
    <w:rsid w:val="000C677E"/>
    <w:rsid w:val="000C7DA5"/>
    <w:rsid w:val="000D1FAD"/>
    <w:rsid w:val="000E152B"/>
    <w:rsid w:val="000E16F8"/>
    <w:rsid w:val="000E2382"/>
    <w:rsid w:val="000E279B"/>
    <w:rsid w:val="000E2BB3"/>
    <w:rsid w:val="000E3F78"/>
    <w:rsid w:val="000F1AF4"/>
    <w:rsid w:val="000F3F2A"/>
    <w:rsid w:val="000F4A0C"/>
    <w:rsid w:val="001003E1"/>
    <w:rsid w:val="00112935"/>
    <w:rsid w:val="00117924"/>
    <w:rsid w:val="00120644"/>
    <w:rsid w:val="00122186"/>
    <w:rsid w:val="00123398"/>
    <w:rsid w:val="00130286"/>
    <w:rsid w:val="00136FAB"/>
    <w:rsid w:val="001402F5"/>
    <w:rsid w:val="0014647F"/>
    <w:rsid w:val="00150CD3"/>
    <w:rsid w:val="00155AED"/>
    <w:rsid w:val="00155C38"/>
    <w:rsid w:val="00165091"/>
    <w:rsid w:val="00165B51"/>
    <w:rsid w:val="001733E2"/>
    <w:rsid w:val="001737CE"/>
    <w:rsid w:val="001742B4"/>
    <w:rsid w:val="00177075"/>
    <w:rsid w:val="001800E1"/>
    <w:rsid w:val="001A0791"/>
    <w:rsid w:val="001A5064"/>
    <w:rsid w:val="001A7973"/>
    <w:rsid w:val="001B6A3E"/>
    <w:rsid w:val="001C57B0"/>
    <w:rsid w:val="001D2F16"/>
    <w:rsid w:val="001D5940"/>
    <w:rsid w:val="001D6663"/>
    <w:rsid w:val="001D74FF"/>
    <w:rsid w:val="001E0739"/>
    <w:rsid w:val="001E1935"/>
    <w:rsid w:val="001E1AAE"/>
    <w:rsid w:val="001E4004"/>
    <w:rsid w:val="001F18B5"/>
    <w:rsid w:val="001F519F"/>
    <w:rsid w:val="00213217"/>
    <w:rsid w:val="00215A25"/>
    <w:rsid w:val="00216ECE"/>
    <w:rsid w:val="00220020"/>
    <w:rsid w:val="0022583F"/>
    <w:rsid w:val="00230B11"/>
    <w:rsid w:val="00231F8C"/>
    <w:rsid w:val="00235156"/>
    <w:rsid w:val="00246A02"/>
    <w:rsid w:val="00256E3D"/>
    <w:rsid w:val="00272256"/>
    <w:rsid w:val="00272549"/>
    <w:rsid w:val="00272AB7"/>
    <w:rsid w:val="00272DF7"/>
    <w:rsid w:val="002776B8"/>
    <w:rsid w:val="00277B50"/>
    <w:rsid w:val="00281739"/>
    <w:rsid w:val="00281998"/>
    <w:rsid w:val="00287C21"/>
    <w:rsid w:val="00292F21"/>
    <w:rsid w:val="002A0471"/>
    <w:rsid w:val="002A0756"/>
    <w:rsid w:val="002A6801"/>
    <w:rsid w:val="002A7A82"/>
    <w:rsid w:val="002B2386"/>
    <w:rsid w:val="002C2167"/>
    <w:rsid w:val="002C244B"/>
    <w:rsid w:val="002C66F2"/>
    <w:rsid w:val="002C67FF"/>
    <w:rsid w:val="002D2987"/>
    <w:rsid w:val="002D43EF"/>
    <w:rsid w:val="002D5AFE"/>
    <w:rsid w:val="002E07A7"/>
    <w:rsid w:val="002E68CD"/>
    <w:rsid w:val="002E6B42"/>
    <w:rsid w:val="002F60B5"/>
    <w:rsid w:val="002F64B0"/>
    <w:rsid w:val="00306C93"/>
    <w:rsid w:val="00316555"/>
    <w:rsid w:val="00326331"/>
    <w:rsid w:val="0033192C"/>
    <w:rsid w:val="003504B0"/>
    <w:rsid w:val="00352EB3"/>
    <w:rsid w:val="003718D2"/>
    <w:rsid w:val="0037549C"/>
    <w:rsid w:val="00376418"/>
    <w:rsid w:val="00383ECA"/>
    <w:rsid w:val="00384351"/>
    <w:rsid w:val="003A571C"/>
    <w:rsid w:val="003B428F"/>
    <w:rsid w:val="003D2836"/>
    <w:rsid w:val="003D56B5"/>
    <w:rsid w:val="003D5976"/>
    <w:rsid w:val="003D5C03"/>
    <w:rsid w:val="003D7860"/>
    <w:rsid w:val="003E2591"/>
    <w:rsid w:val="003E2755"/>
    <w:rsid w:val="003E3B88"/>
    <w:rsid w:val="003E4038"/>
    <w:rsid w:val="003E4B08"/>
    <w:rsid w:val="003E75CD"/>
    <w:rsid w:val="00407104"/>
    <w:rsid w:val="0041624C"/>
    <w:rsid w:val="004271DD"/>
    <w:rsid w:val="004279F1"/>
    <w:rsid w:val="00430935"/>
    <w:rsid w:val="00431D23"/>
    <w:rsid w:val="00436285"/>
    <w:rsid w:val="00436F0A"/>
    <w:rsid w:val="00444DF5"/>
    <w:rsid w:val="0044554E"/>
    <w:rsid w:val="00445AA2"/>
    <w:rsid w:val="0046083D"/>
    <w:rsid w:val="004643C6"/>
    <w:rsid w:val="00466024"/>
    <w:rsid w:val="00466A95"/>
    <w:rsid w:val="00470DB4"/>
    <w:rsid w:val="00480F97"/>
    <w:rsid w:val="00484A10"/>
    <w:rsid w:val="00486D13"/>
    <w:rsid w:val="00497529"/>
    <w:rsid w:val="004A6FA1"/>
    <w:rsid w:val="004B1AC3"/>
    <w:rsid w:val="004B57FD"/>
    <w:rsid w:val="004C3851"/>
    <w:rsid w:val="004C661A"/>
    <w:rsid w:val="004E7182"/>
    <w:rsid w:val="004F0501"/>
    <w:rsid w:val="004F2821"/>
    <w:rsid w:val="00507700"/>
    <w:rsid w:val="005144E2"/>
    <w:rsid w:val="00520E78"/>
    <w:rsid w:val="00521FF8"/>
    <w:rsid w:val="0052449D"/>
    <w:rsid w:val="00531D09"/>
    <w:rsid w:val="00537D45"/>
    <w:rsid w:val="00553BFE"/>
    <w:rsid w:val="00554408"/>
    <w:rsid w:val="00556E66"/>
    <w:rsid w:val="0056623E"/>
    <w:rsid w:val="005678C4"/>
    <w:rsid w:val="00591534"/>
    <w:rsid w:val="005A68F1"/>
    <w:rsid w:val="005C0EBA"/>
    <w:rsid w:val="005C2D37"/>
    <w:rsid w:val="005C4E7B"/>
    <w:rsid w:val="005D50A1"/>
    <w:rsid w:val="005D5B1E"/>
    <w:rsid w:val="005E2E7A"/>
    <w:rsid w:val="005E37FF"/>
    <w:rsid w:val="005F0021"/>
    <w:rsid w:val="005F47D2"/>
    <w:rsid w:val="005F5BF9"/>
    <w:rsid w:val="006022B5"/>
    <w:rsid w:val="006057C7"/>
    <w:rsid w:val="00607A2C"/>
    <w:rsid w:val="006161BF"/>
    <w:rsid w:val="00620097"/>
    <w:rsid w:val="00636333"/>
    <w:rsid w:val="00637F64"/>
    <w:rsid w:val="00640441"/>
    <w:rsid w:val="00641801"/>
    <w:rsid w:val="00641FF2"/>
    <w:rsid w:val="00643E52"/>
    <w:rsid w:val="006440F0"/>
    <w:rsid w:val="006466E8"/>
    <w:rsid w:val="00650268"/>
    <w:rsid w:val="00674E21"/>
    <w:rsid w:val="00686CD5"/>
    <w:rsid w:val="00686E93"/>
    <w:rsid w:val="006A1813"/>
    <w:rsid w:val="006A6393"/>
    <w:rsid w:val="006B351D"/>
    <w:rsid w:val="006B76C8"/>
    <w:rsid w:val="006C4886"/>
    <w:rsid w:val="006D28B0"/>
    <w:rsid w:val="006D5D45"/>
    <w:rsid w:val="006E1C00"/>
    <w:rsid w:val="006E2CE4"/>
    <w:rsid w:val="006E72EC"/>
    <w:rsid w:val="006F08E5"/>
    <w:rsid w:val="006F258E"/>
    <w:rsid w:val="006F3F0F"/>
    <w:rsid w:val="006F45B6"/>
    <w:rsid w:val="006F582A"/>
    <w:rsid w:val="00710FA5"/>
    <w:rsid w:val="007240A9"/>
    <w:rsid w:val="007272A9"/>
    <w:rsid w:val="00733028"/>
    <w:rsid w:val="007334C7"/>
    <w:rsid w:val="00736835"/>
    <w:rsid w:val="00737CD8"/>
    <w:rsid w:val="00741C3A"/>
    <w:rsid w:val="007447EF"/>
    <w:rsid w:val="0076423B"/>
    <w:rsid w:val="007734E4"/>
    <w:rsid w:val="00784200"/>
    <w:rsid w:val="00786D3B"/>
    <w:rsid w:val="007A2616"/>
    <w:rsid w:val="007A2C17"/>
    <w:rsid w:val="007B5C19"/>
    <w:rsid w:val="007B63D7"/>
    <w:rsid w:val="007D0D6F"/>
    <w:rsid w:val="007D3142"/>
    <w:rsid w:val="007D3359"/>
    <w:rsid w:val="007D57ED"/>
    <w:rsid w:val="007E1145"/>
    <w:rsid w:val="007E142B"/>
    <w:rsid w:val="007E276C"/>
    <w:rsid w:val="007E2FE8"/>
    <w:rsid w:val="007F4E7C"/>
    <w:rsid w:val="008066E1"/>
    <w:rsid w:val="0081064B"/>
    <w:rsid w:val="00810D58"/>
    <w:rsid w:val="00817FDE"/>
    <w:rsid w:val="00822D87"/>
    <w:rsid w:val="00823EA0"/>
    <w:rsid w:val="00836CFC"/>
    <w:rsid w:val="00846977"/>
    <w:rsid w:val="0085013E"/>
    <w:rsid w:val="00853FEF"/>
    <w:rsid w:val="00866C31"/>
    <w:rsid w:val="008674B3"/>
    <w:rsid w:val="008765E8"/>
    <w:rsid w:val="0088482C"/>
    <w:rsid w:val="008857DE"/>
    <w:rsid w:val="00893BD2"/>
    <w:rsid w:val="008A4175"/>
    <w:rsid w:val="008B4C32"/>
    <w:rsid w:val="008C71E8"/>
    <w:rsid w:val="008C7E29"/>
    <w:rsid w:val="008D18BD"/>
    <w:rsid w:val="008D1A84"/>
    <w:rsid w:val="008D5891"/>
    <w:rsid w:val="008D692D"/>
    <w:rsid w:val="008E41F5"/>
    <w:rsid w:val="00905EEC"/>
    <w:rsid w:val="00907643"/>
    <w:rsid w:val="00914CCB"/>
    <w:rsid w:val="009247D6"/>
    <w:rsid w:val="009269D0"/>
    <w:rsid w:val="00931904"/>
    <w:rsid w:val="00941B07"/>
    <w:rsid w:val="00942959"/>
    <w:rsid w:val="009469E0"/>
    <w:rsid w:val="00952882"/>
    <w:rsid w:val="00952E76"/>
    <w:rsid w:val="0095391C"/>
    <w:rsid w:val="009563FC"/>
    <w:rsid w:val="00964A70"/>
    <w:rsid w:val="00965CEC"/>
    <w:rsid w:val="00967FE9"/>
    <w:rsid w:val="0097354B"/>
    <w:rsid w:val="00974286"/>
    <w:rsid w:val="009803A5"/>
    <w:rsid w:val="00980A91"/>
    <w:rsid w:val="00984537"/>
    <w:rsid w:val="009855CC"/>
    <w:rsid w:val="00993240"/>
    <w:rsid w:val="009A4AE9"/>
    <w:rsid w:val="009B066F"/>
    <w:rsid w:val="009B0E22"/>
    <w:rsid w:val="009B1060"/>
    <w:rsid w:val="009C1D2E"/>
    <w:rsid w:val="009C2D5D"/>
    <w:rsid w:val="009C4BD7"/>
    <w:rsid w:val="009D6F11"/>
    <w:rsid w:val="009D77F1"/>
    <w:rsid w:val="009E246E"/>
    <w:rsid w:val="009E3C13"/>
    <w:rsid w:val="009E5AC3"/>
    <w:rsid w:val="009E7DBF"/>
    <w:rsid w:val="009F3420"/>
    <w:rsid w:val="009F411D"/>
    <w:rsid w:val="009F5650"/>
    <w:rsid w:val="00A04CC5"/>
    <w:rsid w:val="00A2239B"/>
    <w:rsid w:val="00A26DDA"/>
    <w:rsid w:val="00A379DA"/>
    <w:rsid w:val="00A4213B"/>
    <w:rsid w:val="00A422C1"/>
    <w:rsid w:val="00A46E88"/>
    <w:rsid w:val="00A6233E"/>
    <w:rsid w:val="00A663CA"/>
    <w:rsid w:val="00A7616E"/>
    <w:rsid w:val="00A77184"/>
    <w:rsid w:val="00A80612"/>
    <w:rsid w:val="00A82E2F"/>
    <w:rsid w:val="00A85D5E"/>
    <w:rsid w:val="00A942B4"/>
    <w:rsid w:val="00A95319"/>
    <w:rsid w:val="00AA695E"/>
    <w:rsid w:val="00AB78A0"/>
    <w:rsid w:val="00AC0E01"/>
    <w:rsid w:val="00AD5CFA"/>
    <w:rsid w:val="00AD64C9"/>
    <w:rsid w:val="00B0073F"/>
    <w:rsid w:val="00B01110"/>
    <w:rsid w:val="00B020B1"/>
    <w:rsid w:val="00B02402"/>
    <w:rsid w:val="00B025A8"/>
    <w:rsid w:val="00B0712E"/>
    <w:rsid w:val="00B10083"/>
    <w:rsid w:val="00B115C4"/>
    <w:rsid w:val="00B15095"/>
    <w:rsid w:val="00B16B7D"/>
    <w:rsid w:val="00B171F0"/>
    <w:rsid w:val="00B175A9"/>
    <w:rsid w:val="00B23A1A"/>
    <w:rsid w:val="00B30080"/>
    <w:rsid w:val="00B34DF2"/>
    <w:rsid w:val="00B367DD"/>
    <w:rsid w:val="00B415EF"/>
    <w:rsid w:val="00B417BE"/>
    <w:rsid w:val="00B43BC5"/>
    <w:rsid w:val="00B44C51"/>
    <w:rsid w:val="00B51FEC"/>
    <w:rsid w:val="00B52120"/>
    <w:rsid w:val="00B63F35"/>
    <w:rsid w:val="00B65DEE"/>
    <w:rsid w:val="00B710F8"/>
    <w:rsid w:val="00B72217"/>
    <w:rsid w:val="00B7326A"/>
    <w:rsid w:val="00B76E46"/>
    <w:rsid w:val="00B80B5E"/>
    <w:rsid w:val="00B83162"/>
    <w:rsid w:val="00B93D7D"/>
    <w:rsid w:val="00B97782"/>
    <w:rsid w:val="00BA4546"/>
    <w:rsid w:val="00BA5452"/>
    <w:rsid w:val="00BA579B"/>
    <w:rsid w:val="00BA5C6D"/>
    <w:rsid w:val="00BA7044"/>
    <w:rsid w:val="00BB6889"/>
    <w:rsid w:val="00BB7920"/>
    <w:rsid w:val="00BC069E"/>
    <w:rsid w:val="00BD0A7C"/>
    <w:rsid w:val="00BD0C10"/>
    <w:rsid w:val="00BD1577"/>
    <w:rsid w:val="00BE35D6"/>
    <w:rsid w:val="00C006D2"/>
    <w:rsid w:val="00C00CF2"/>
    <w:rsid w:val="00C0275C"/>
    <w:rsid w:val="00C03D10"/>
    <w:rsid w:val="00C23CC3"/>
    <w:rsid w:val="00C305A8"/>
    <w:rsid w:val="00C33F10"/>
    <w:rsid w:val="00C54287"/>
    <w:rsid w:val="00C54385"/>
    <w:rsid w:val="00C635A8"/>
    <w:rsid w:val="00C63757"/>
    <w:rsid w:val="00C63F22"/>
    <w:rsid w:val="00C6405F"/>
    <w:rsid w:val="00C65FBC"/>
    <w:rsid w:val="00C74511"/>
    <w:rsid w:val="00C90B1D"/>
    <w:rsid w:val="00C91934"/>
    <w:rsid w:val="00C97A73"/>
    <w:rsid w:val="00CA4D71"/>
    <w:rsid w:val="00CA76AD"/>
    <w:rsid w:val="00CC2F48"/>
    <w:rsid w:val="00CD07CA"/>
    <w:rsid w:val="00CD1EAC"/>
    <w:rsid w:val="00D14F61"/>
    <w:rsid w:val="00D17CA6"/>
    <w:rsid w:val="00D242BE"/>
    <w:rsid w:val="00D268D3"/>
    <w:rsid w:val="00D271DF"/>
    <w:rsid w:val="00D41B56"/>
    <w:rsid w:val="00D42A33"/>
    <w:rsid w:val="00D463FA"/>
    <w:rsid w:val="00D47908"/>
    <w:rsid w:val="00D50475"/>
    <w:rsid w:val="00D52939"/>
    <w:rsid w:val="00D61EE8"/>
    <w:rsid w:val="00D64343"/>
    <w:rsid w:val="00D64BDE"/>
    <w:rsid w:val="00D65420"/>
    <w:rsid w:val="00D7051D"/>
    <w:rsid w:val="00D7257C"/>
    <w:rsid w:val="00D73146"/>
    <w:rsid w:val="00D75396"/>
    <w:rsid w:val="00D838CE"/>
    <w:rsid w:val="00DB4198"/>
    <w:rsid w:val="00DB5CC3"/>
    <w:rsid w:val="00DB6896"/>
    <w:rsid w:val="00DC17C1"/>
    <w:rsid w:val="00DC2BB8"/>
    <w:rsid w:val="00DC7FDE"/>
    <w:rsid w:val="00DD1637"/>
    <w:rsid w:val="00DF2EA5"/>
    <w:rsid w:val="00DF5EF0"/>
    <w:rsid w:val="00E00CDE"/>
    <w:rsid w:val="00E070EB"/>
    <w:rsid w:val="00E11BF9"/>
    <w:rsid w:val="00E21B45"/>
    <w:rsid w:val="00E259B0"/>
    <w:rsid w:val="00E27FED"/>
    <w:rsid w:val="00E33D74"/>
    <w:rsid w:val="00E36284"/>
    <w:rsid w:val="00E47701"/>
    <w:rsid w:val="00E47C39"/>
    <w:rsid w:val="00E51485"/>
    <w:rsid w:val="00E531D7"/>
    <w:rsid w:val="00E60822"/>
    <w:rsid w:val="00E6258B"/>
    <w:rsid w:val="00E67321"/>
    <w:rsid w:val="00E7233E"/>
    <w:rsid w:val="00E7639E"/>
    <w:rsid w:val="00E909D2"/>
    <w:rsid w:val="00E9167C"/>
    <w:rsid w:val="00E955EE"/>
    <w:rsid w:val="00EA4BFC"/>
    <w:rsid w:val="00EA559B"/>
    <w:rsid w:val="00EB500F"/>
    <w:rsid w:val="00EC047A"/>
    <w:rsid w:val="00EC7413"/>
    <w:rsid w:val="00EC79E4"/>
    <w:rsid w:val="00ED4652"/>
    <w:rsid w:val="00ED6922"/>
    <w:rsid w:val="00EF7E9E"/>
    <w:rsid w:val="00F007F0"/>
    <w:rsid w:val="00F03FA6"/>
    <w:rsid w:val="00F05F69"/>
    <w:rsid w:val="00F07A67"/>
    <w:rsid w:val="00F174C7"/>
    <w:rsid w:val="00F2034D"/>
    <w:rsid w:val="00F315F5"/>
    <w:rsid w:val="00F31F89"/>
    <w:rsid w:val="00F3428F"/>
    <w:rsid w:val="00F41420"/>
    <w:rsid w:val="00F44F4D"/>
    <w:rsid w:val="00F44FF7"/>
    <w:rsid w:val="00F51BB8"/>
    <w:rsid w:val="00F5425F"/>
    <w:rsid w:val="00F542CB"/>
    <w:rsid w:val="00F54852"/>
    <w:rsid w:val="00F5646D"/>
    <w:rsid w:val="00F72D15"/>
    <w:rsid w:val="00F801FF"/>
    <w:rsid w:val="00F8098E"/>
    <w:rsid w:val="00F87315"/>
    <w:rsid w:val="00F94A30"/>
    <w:rsid w:val="00FA7473"/>
    <w:rsid w:val="00FB605C"/>
    <w:rsid w:val="00FC126F"/>
    <w:rsid w:val="00FC5B9C"/>
    <w:rsid w:val="00FC5ECF"/>
    <w:rsid w:val="00FD53E4"/>
    <w:rsid w:val="00FD6465"/>
    <w:rsid w:val="00FE0A22"/>
    <w:rsid w:val="00FF1ACA"/>
    <w:rsid w:val="00FF4647"/>
    <w:rsid w:val="00FF6A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FB93F7"/>
  <w15:docId w15:val="{44B5AADF-8D34-429A-B518-04D76104F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5A8"/>
    <w:pPr>
      <w:spacing w:before="120" w:line="360" w:lineRule="auto"/>
      <w:jc w:val="both"/>
    </w:pPr>
    <w:rPr>
      <w:sz w:val="22"/>
      <w:szCs w:val="22"/>
      <w:lang w:val="id-ID"/>
    </w:rPr>
  </w:style>
  <w:style w:type="paragraph" w:styleId="Heading1">
    <w:name w:val="heading 1"/>
    <w:basedOn w:val="Heading2"/>
    <w:link w:val="Heading1Char"/>
    <w:qFormat/>
    <w:rsid w:val="00BB7920"/>
    <w:pPr>
      <w:keepLines w:val="0"/>
      <w:tabs>
        <w:tab w:val="left" w:pos="993"/>
      </w:tabs>
      <w:spacing w:before="0" w:after="360" w:line="240" w:lineRule="auto"/>
      <w:jc w:val="center"/>
      <w:outlineLvl w:val="0"/>
    </w:pPr>
    <w:rPr>
      <w:rFonts w:ascii="Times New Roman" w:eastAsia="Times New Roman" w:hAnsi="Times New Roman" w:cs="Angsana New"/>
      <w:iCs/>
      <w:caps/>
      <w:color w:val="auto"/>
      <w:kern w:val="32"/>
      <w:sz w:val="28"/>
      <w:szCs w:val="32"/>
      <w:lang w:val="en-US"/>
    </w:rPr>
  </w:style>
  <w:style w:type="paragraph" w:styleId="Heading2">
    <w:name w:val="heading 2"/>
    <w:basedOn w:val="Normal"/>
    <w:next w:val="Normal"/>
    <w:link w:val="Heading2Char"/>
    <w:uiPriority w:val="9"/>
    <w:semiHidden/>
    <w:unhideWhenUsed/>
    <w:qFormat/>
    <w:rsid w:val="00BB79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D18B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71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text 3"/>
    <w:basedOn w:val="Normal"/>
    <w:link w:val="ListParagraphChar"/>
    <w:uiPriority w:val="34"/>
    <w:qFormat/>
    <w:rsid w:val="009E5AC3"/>
    <w:pPr>
      <w:spacing w:before="0" w:line="240" w:lineRule="auto"/>
      <w:ind w:left="720"/>
      <w:contextualSpacing/>
      <w:jc w:val="left"/>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B417BE"/>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B417BE"/>
    <w:rPr>
      <w:rFonts w:ascii="Tahoma" w:hAnsi="Tahoma" w:cs="Tahoma"/>
      <w:sz w:val="16"/>
      <w:szCs w:val="16"/>
    </w:rPr>
  </w:style>
  <w:style w:type="character" w:styleId="Hyperlink">
    <w:name w:val="Hyperlink"/>
    <w:uiPriority w:val="99"/>
    <w:unhideWhenUsed/>
    <w:rsid w:val="00256E3D"/>
    <w:rPr>
      <w:color w:val="0000FF"/>
      <w:u w:val="single"/>
    </w:rPr>
  </w:style>
  <w:style w:type="character" w:customStyle="1" w:styleId="ListParagraphChar">
    <w:name w:val="List Paragraph Char"/>
    <w:aliases w:val="text 3 Char"/>
    <w:link w:val="ListParagraph"/>
    <w:uiPriority w:val="34"/>
    <w:locked/>
    <w:rsid w:val="00256E3D"/>
    <w:rPr>
      <w:rFonts w:ascii="Times New Roman" w:eastAsia="Times New Roman" w:hAnsi="Times New Roman"/>
      <w:sz w:val="24"/>
      <w:szCs w:val="24"/>
    </w:rPr>
  </w:style>
  <w:style w:type="paragraph" w:styleId="Header">
    <w:name w:val="header"/>
    <w:basedOn w:val="Normal"/>
    <w:link w:val="HeaderChar"/>
    <w:uiPriority w:val="99"/>
    <w:unhideWhenUsed/>
    <w:rsid w:val="005D50A1"/>
    <w:pPr>
      <w:tabs>
        <w:tab w:val="center" w:pos="4680"/>
        <w:tab w:val="right" w:pos="9360"/>
      </w:tabs>
      <w:spacing w:before="0" w:line="240" w:lineRule="auto"/>
    </w:pPr>
  </w:style>
  <w:style w:type="character" w:customStyle="1" w:styleId="HeaderChar">
    <w:name w:val="Header Char"/>
    <w:link w:val="Header"/>
    <w:uiPriority w:val="99"/>
    <w:rsid w:val="005D50A1"/>
    <w:rPr>
      <w:sz w:val="22"/>
      <w:szCs w:val="22"/>
      <w:lang w:val="id-ID"/>
    </w:rPr>
  </w:style>
  <w:style w:type="paragraph" w:styleId="Footer">
    <w:name w:val="footer"/>
    <w:basedOn w:val="Normal"/>
    <w:link w:val="FooterChar"/>
    <w:uiPriority w:val="99"/>
    <w:unhideWhenUsed/>
    <w:rsid w:val="005D50A1"/>
    <w:pPr>
      <w:tabs>
        <w:tab w:val="center" w:pos="4680"/>
        <w:tab w:val="right" w:pos="9360"/>
      </w:tabs>
      <w:spacing w:before="0" w:line="240" w:lineRule="auto"/>
    </w:pPr>
  </w:style>
  <w:style w:type="character" w:customStyle="1" w:styleId="FooterChar">
    <w:name w:val="Footer Char"/>
    <w:link w:val="Footer"/>
    <w:uiPriority w:val="99"/>
    <w:rsid w:val="005D50A1"/>
    <w:rPr>
      <w:sz w:val="22"/>
      <w:szCs w:val="22"/>
      <w:lang w:val="id-ID"/>
    </w:rPr>
  </w:style>
  <w:style w:type="paragraph" w:styleId="BodyText">
    <w:name w:val="Body Text"/>
    <w:basedOn w:val="Normal"/>
    <w:link w:val="BodyTextChar"/>
    <w:semiHidden/>
    <w:rsid w:val="006161BF"/>
    <w:pPr>
      <w:widowControl w:val="0"/>
      <w:spacing w:beforeLines="50" w:before="0" w:after="50" w:line="240" w:lineRule="exact"/>
    </w:pPr>
    <w:rPr>
      <w:rFonts w:ascii="Times New Roman" w:eastAsia="SimSun" w:hAnsi="Times New Roman"/>
      <w:bCs/>
      <w:kern w:val="2"/>
      <w:sz w:val="20"/>
      <w:lang w:val="en-US" w:eastAsia="zh-CN"/>
    </w:rPr>
  </w:style>
  <w:style w:type="character" w:customStyle="1" w:styleId="BodyTextChar">
    <w:name w:val="Body Text Char"/>
    <w:link w:val="BodyText"/>
    <w:semiHidden/>
    <w:rsid w:val="006161BF"/>
    <w:rPr>
      <w:rFonts w:ascii="Times New Roman" w:eastAsia="SimSun" w:hAnsi="Times New Roman"/>
      <w:bCs/>
      <w:kern w:val="2"/>
      <w:szCs w:val="22"/>
      <w:lang w:eastAsia="zh-CN"/>
    </w:rPr>
  </w:style>
  <w:style w:type="paragraph" w:styleId="BodyText2">
    <w:name w:val="Body Text 2"/>
    <w:basedOn w:val="Normal"/>
    <w:link w:val="BodyText2Char"/>
    <w:semiHidden/>
    <w:rsid w:val="006161BF"/>
    <w:pPr>
      <w:widowControl w:val="0"/>
      <w:spacing w:before="200" w:after="200" w:line="400" w:lineRule="exact"/>
      <w:jc w:val="center"/>
    </w:pPr>
    <w:rPr>
      <w:rFonts w:ascii="Times New Roman" w:eastAsia="SimSun" w:hAnsi="Times New Roman"/>
      <w:kern w:val="2"/>
      <w:sz w:val="32"/>
      <w:szCs w:val="32"/>
      <w:lang w:val="en-US" w:eastAsia="zh-CN"/>
    </w:rPr>
  </w:style>
  <w:style w:type="character" w:customStyle="1" w:styleId="BodyText2Char">
    <w:name w:val="Body Text 2 Char"/>
    <w:link w:val="BodyText2"/>
    <w:semiHidden/>
    <w:rsid w:val="006161BF"/>
    <w:rPr>
      <w:rFonts w:ascii="Times New Roman" w:eastAsia="SimSun" w:hAnsi="Times New Roman"/>
      <w:kern w:val="2"/>
      <w:sz w:val="32"/>
      <w:szCs w:val="32"/>
      <w:lang w:eastAsia="zh-CN"/>
    </w:rPr>
  </w:style>
  <w:style w:type="character" w:styleId="LineNumber">
    <w:name w:val="line number"/>
    <w:basedOn w:val="DefaultParagraphFont"/>
    <w:uiPriority w:val="99"/>
    <w:semiHidden/>
    <w:unhideWhenUsed/>
    <w:rsid w:val="00FA7473"/>
  </w:style>
  <w:style w:type="paragraph" w:styleId="Revision">
    <w:name w:val="Revision"/>
    <w:hidden/>
    <w:uiPriority w:val="99"/>
    <w:semiHidden/>
    <w:rsid w:val="006F258E"/>
    <w:rPr>
      <w:sz w:val="22"/>
      <w:szCs w:val="22"/>
      <w:lang w:val="id-ID"/>
    </w:rPr>
  </w:style>
  <w:style w:type="character" w:customStyle="1" w:styleId="Heading1Char">
    <w:name w:val="Heading 1 Char"/>
    <w:basedOn w:val="DefaultParagraphFont"/>
    <w:link w:val="Heading1"/>
    <w:rsid w:val="00BB7920"/>
    <w:rPr>
      <w:rFonts w:ascii="Times New Roman" w:eastAsia="Times New Roman" w:hAnsi="Times New Roman" w:cs="Angsana New"/>
      <w:b/>
      <w:bCs/>
      <w:iCs/>
      <w:caps/>
      <w:kern w:val="32"/>
      <w:sz w:val="28"/>
      <w:szCs w:val="32"/>
    </w:rPr>
  </w:style>
  <w:style w:type="character" w:customStyle="1" w:styleId="Heading2Char">
    <w:name w:val="Heading 2 Char"/>
    <w:basedOn w:val="DefaultParagraphFont"/>
    <w:link w:val="Heading2"/>
    <w:uiPriority w:val="9"/>
    <w:semiHidden/>
    <w:rsid w:val="00BB7920"/>
    <w:rPr>
      <w:rFonts w:asciiTheme="majorHAnsi" w:eastAsiaTheme="majorEastAsia" w:hAnsiTheme="majorHAnsi" w:cstheme="majorBidi"/>
      <w:b/>
      <w:bCs/>
      <w:color w:val="4F81BD" w:themeColor="accent1"/>
      <w:sz w:val="26"/>
      <w:szCs w:val="26"/>
      <w:lang w:val="id-ID"/>
    </w:rPr>
  </w:style>
  <w:style w:type="paragraph" w:customStyle="1" w:styleId="Text">
    <w:name w:val="Text"/>
    <w:basedOn w:val="Normal"/>
    <w:rsid w:val="00BB7920"/>
    <w:pPr>
      <w:widowControl w:val="0"/>
      <w:autoSpaceDE w:val="0"/>
      <w:autoSpaceDN w:val="0"/>
      <w:spacing w:before="0" w:line="252" w:lineRule="auto"/>
      <w:ind w:firstLine="202"/>
    </w:pPr>
    <w:rPr>
      <w:rFonts w:ascii="Times New Roman" w:eastAsia="MS Mincho" w:hAnsi="Times New Roman"/>
      <w:sz w:val="20"/>
      <w:szCs w:val="20"/>
      <w:lang w:val="en-US"/>
    </w:rPr>
  </w:style>
  <w:style w:type="paragraph" w:customStyle="1" w:styleId="Secondlevelheading">
    <w:name w:val="Second level heading"/>
    <w:basedOn w:val="Normal"/>
    <w:rsid w:val="00637F64"/>
    <w:pPr>
      <w:spacing w:before="0" w:line="260" w:lineRule="exact"/>
    </w:pPr>
    <w:rPr>
      <w:rFonts w:ascii="Times New Roman" w:eastAsia="Times" w:hAnsi="Times New Roman"/>
      <w:sz w:val="20"/>
      <w:szCs w:val="20"/>
      <w:lang w:val="en-US" w:eastAsia="ja-JP"/>
    </w:rPr>
  </w:style>
  <w:style w:type="paragraph" w:customStyle="1" w:styleId="maintext">
    <w:name w:val="main text"/>
    <w:basedOn w:val="Normal"/>
    <w:rsid w:val="00637F64"/>
    <w:pPr>
      <w:spacing w:before="0" w:line="260" w:lineRule="exact"/>
      <w:ind w:firstLine="284"/>
    </w:pPr>
    <w:rPr>
      <w:rFonts w:ascii="Times New Roman" w:eastAsia="Times" w:hAnsi="Times New Roman"/>
      <w:sz w:val="20"/>
      <w:szCs w:val="20"/>
      <w:lang w:val="en-US" w:eastAsia="ja-JP"/>
    </w:rPr>
  </w:style>
  <w:style w:type="character" w:customStyle="1" w:styleId="Heading3Char">
    <w:name w:val="Heading 3 Char"/>
    <w:basedOn w:val="DefaultParagraphFont"/>
    <w:link w:val="Heading3"/>
    <w:uiPriority w:val="9"/>
    <w:semiHidden/>
    <w:rsid w:val="008D18BD"/>
    <w:rPr>
      <w:rFonts w:asciiTheme="majorHAnsi" w:eastAsiaTheme="majorEastAsia" w:hAnsiTheme="majorHAnsi" w:cstheme="majorBidi"/>
      <w:b/>
      <w:bCs/>
      <w:color w:val="4F81BD" w:themeColor="accent1"/>
      <w:sz w:val="22"/>
      <w:szCs w:val="22"/>
      <w:lang w:val="id-ID"/>
    </w:rPr>
  </w:style>
  <w:style w:type="character" w:customStyle="1" w:styleId="typography">
    <w:name w:val="typography"/>
    <w:basedOn w:val="DefaultParagraphFont"/>
    <w:rsid w:val="00A663CA"/>
  </w:style>
  <w:style w:type="character" w:customStyle="1" w:styleId="linktext">
    <w:name w:val="link__text"/>
    <w:basedOn w:val="DefaultParagraphFont"/>
    <w:rsid w:val="00A663CA"/>
  </w:style>
  <w:style w:type="character" w:customStyle="1" w:styleId="text-meta">
    <w:name w:val="text-meta"/>
    <w:basedOn w:val="DefaultParagraphFont"/>
    <w:rsid w:val="00A66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6152">
      <w:bodyDiv w:val="1"/>
      <w:marLeft w:val="0"/>
      <w:marRight w:val="0"/>
      <w:marTop w:val="0"/>
      <w:marBottom w:val="0"/>
      <w:divBdr>
        <w:top w:val="none" w:sz="0" w:space="0" w:color="auto"/>
        <w:left w:val="none" w:sz="0" w:space="0" w:color="auto"/>
        <w:bottom w:val="none" w:sz="0" w:space="0" w:color="auto"/>
        <w:right w:val="none" w:sz="0" w:space="0" w:color="auto"/>
      </w:divBdr>
    </w:div>
    <w:div w:id="47992938">
      <w:bodyDiv w:val="1"/>
      <w:marLeft w:val="0"/>
      <w:marRight w:val="0"/>
      <w:marTop w:val="0"/>
      <w:marBottom w:val="0"/>
      <w:divBdr>
        <w:top w:val="none" w:sz="0" w:space="0" w:color="auto"/>
        <w:left w:val="none" w:sz="0" w:space="0" w:color="auto"/>
        <w:bottom w:val="none" w:sz="0" w:space="0" w:color="auto"/>
        <w:right w:val="none" w:sz="0" w:space="0" w:color="auto"/>
      </w:divBdr>
    </w:div>
    <w:div w:id="139425011">
      <w:bodyDiv w:val="1"/>
      <w:marLeft w:val="0"/>
      <w:marRight w:val="0"/>
      <w:marTop w:val="0"/>
      <w:marBottom w:val="0"/>
      <w:divBdr>
        <w:top w:val="none" w:sz="0" w:space="0" w:color="auto"/>
        <w:left w:val="none" w:sz="0" w:space="0" w:color="auto"/>
        <w:bottom w:val="none" w:sz="0" w:space="0" w:color="auto"/>
        <w:right w:val="none" w:sz="0" w:space="0" w:color="auto"/>
      </w:divBdr>
    </w:div>
    <w:div w:id="224725907">
      <w:bodyDiv w:val="1"/>
      <w:marLeft w:val="0"/>
      <w:marRight w:val="0"/>
      <w:marTop w:val="0"/>
      <w:marBottom w:val="0"/>
      <w:divBdr>
        <w:top w:val="none" w:sz="0" w:space="0" w:color="auto"/>
        <w:left w:val="none" w:sz="0" w:space="0" w:color="auto"/>
        <w:bottom w:val="none" w:sz="0" w:space="0" w:color="auto"/>
        <w:right w:val="none" w:sz="0" w:space="0" w:color="auto"/>
      </w:divBdr>
    </w:div>
    <w:div w:id="346368103">
      <w:bodyDiv w:val="1"/>
      <w:marLeft w:val="0"/>
      <w:marRight w:val="0"/>
      <w:marTop w:val="0"/>
      <w:marBottom w:val="0"/>
      <w:divBdr>
        <w:top w:val="none" w:sz="0" w:space="0" w:color="auto"/>
        <w:left w:val="none" w:sz="0" w:space="0" w:color="auto"/>
        <w:bottom w:val="none" w:sz="0" w:space="0" w:color="auto"/>
        <w:right w:val="none" w:sz="0" w:space="0" w:color="auto"/>
      </w:divBdr>
    </w:div>
    <w:div w:id="377051692">
      <w:bodyDiv w:val="1"/>
      <w:marLeft w:val="0"/>
      <w:marRight w:val="0"/>
      <w:marTop w:val="0"/>
      <w:marBottom w:val="0"/>
      <w:divBdr>
        <w:top w:val="none" w:sz="0" w:space="0" w:color="auto"/>
        <w:left w:val="none" w:sz="0" w:space="0" w:color="auto"/>
        <w:bottom w:val="none" w:sz="0" w:space="0" w:color="auto"/>
        <w:right w:val="none" w:sz="0" w:space="0" w:color="auto"/>
      </w:divBdr>
    </w:div>
    <w:div w:id="531387076">
      <w:bodyDiv w:val="1"/>
      <w:marLeft w:val="0"/>
      <w:marRight w:val="0"/>
      <w:marTop w:val="0"/>
      <w:marBottom w:val="0"/>
      <w:divBdr>
        <w:top w:val="none" w:sz="0" w:space="0" w:color="auto"/>
        <w:left w:val="none" w:sz="0" w:space="0" w:color="auto"/>
        <w:bottom w:val="none" w:sz="0" w:space="0" w:color="auto"/>
        <w:right w:val="none" w:sz="0" w:space="0" w:color="auto"/>
      </w:divBdr>
    </w:div>
    <w:div w:id="564032295">
      <w:bodyDiv w:val="1"/>
      <w:marLeft w:val="0"/>
      <w:marRight w:val="0"/>
      <w:marTop w:val="0"/>
      <w:marBottom w:val="0"/>
      <w:divBdr>
        <w:top w:val="none" w:sz="0" w:space="0" w:color="auto"/>
        <w:left w:val="none" w:sz="0" w:space="0" w:color="auto"/>
        <w:bottom w:val="none" w:sz="0" w:space="0" w:color="auto"/>
        <w:right w:val="none" w:sz="0" w:space="0" w:color="auto"/>
      </w:divBdr>
      <w:divsChild>
        <w:div w:id="1697652602">
          <w:marLeft w:val="0"/>
          <w:marRight w:val="0"/>
          <w:marTop w:val="0"/>
          <w:marBottom w:val="0"/>
          <w:divBdr>
            <w:top w:val="none" w:sz="0" w:space="0" w:color="auto"/>
            <w:left w:val="none" w:sz="0" w:space="0" w:color="auto"/>
            <w:bottom w:val="none" w:sz="0" w:space="0" w:color="auto"/>
            <w:right w:val="none" w:sz="0" w:space="0" w:color="auto"/>
          </w:divBdr>
          <w:divsChild>
            <w:div w:id="1926642220">
              <w:marLeft w:val="0"/>
              <w:marRight w:val="0"/>
              <w:marTop w:val="0"/>
              <w:marBottom w:val="0"/>
              <w:divBdr>
                <w:top w:val="none" w:sz="0" w:space="0" w:color="auto"/>
                <w:left w:val="none" w:sz="0" w:space="0" w:color="auto"/>
                <w:bottom w:val="none" w:sz="0" w:space="0" w:color="auto"/>
                <w:right w:val="none" w:sz="0" w:space="0" w:color="auto"/>
              </w:divBdr>
            </w:div>
            <w:div w:id="1236429807">
              <w:marLeft w:val="0"/>
              <w:marRight w:val="0"/>
              <w:marTop w:val="0"/>
              <w:marBottom w:val="0"/>
              <w:divBdr>
                <w:top w:val="none" w:sz="0" w:space="0" w:color="auto"/>
                <w:left w:val="none" w:sz="0" w:space="0" w:color="auto"/>
                <w:bottom w:val="none" w:sz="0" w:space="0" w:color="auto"/>
                <w:right w:val="none" w:sz="0" w:space="0" w:color="auto"/>
              </w:divBdr>
            </w:div>
            <w:div w:id="1478759521">
              <w:marLeft w:val="0"/>
              <w:marRight w:val="0"/>
              <w:marTop w:val="0"/>
              <w:marBottom w:val="0"/>
              <w:divBdr>
                <w:top w:val="none" w:sz="0" w:space="0" w:color="auto"/>
                <w:left w:val="none" w:sz="0" w:space="0" w:color="auto"/>
                <w:bottom w:val="none" w:sz="0" w:space="0" w:color="auto"/>
                <w:right w:val="none" w:sz="0" w:space="0" w:color="auto"/>
              </w:divBdr>
            </w:div>
            <w:div w:id="1660883005">
              <w:marLeft w:val="0"/>
              <w:marRight w:val="0"/>
              <w:marTop w:val="0"/>
              <w:marBottom w:val="0"/>
              <w:divBdr>
                <w:top w:val="none" w:sz="0" w:space="0" w:color="auto"/>
                <w:left w:val="none" w:sz="0" w:space="0" w:color="auto"/>
                <w:bottom w:val="none" w:sz="0" w:space="0" w:color="auto"/>
                <w:right w:val="none" w:sz="0" w:space="0" w:color="auto"/>
              </w:divBdr>
            </w:div>
            <w:div w:id="137429700">
              <w:marLeft w:val="0"/>
              <w:marRight w:val="0"/>
              <w:marTop w:val="0"/>
              <w:marBottom w:val="0"/>
              <w:divBdr>
                <w:top w:val="none" w:sz="0" w:space="0" w:color="auto"/>
                <w:left w:val="none" w:sz="0" w:space="0" w:color="auto"/>
                <w:bottom w:val="none" w:sz="0" w:space="0" w:color="auto"/>
                <w:right w:val="none" w:sz="0" w:space="0" w:color="auto"/>
              </w:divBdr>
            </w:div>
            <w:div w:id="429857403">
              <w:marLeft w:val="0"/>
              <w:marRight w:val="0"/>
              <w:marTop w:val="0"/>
              <w:marBottom w:val="0"/>
              <w:divBdr>
                <w:top w:val="none" w:sz="0" w:space="0" w:color="auto"/>
                <w:left w:val="none" w:sz="0" w:space="0" w:color="auto"/>
                <w:bottom w:val="none" w:sz="0" w:space="0" w:color="auto"/>
                <w:right w:val="none" w:sz="0" w:space="0" w:color="auto"/>
              </w:divBdr>
            </w:div>
            <w:div w:id="2110658797">
              <w:marLeft w:val="0"/>
              <w:marRight w:val="0"/>
              <w:marTop w:val="0"/>
              <w:marBottom w:val="0"/>
              <w:divBdr>
                <w:top w:val="none" w:sz="0" w:space="0" w:color="auto"/>
                <w:left w:val="none" w:sz="0" w:space="0" w:color="auto"/>
                <w:bottom w:val="none" w:sz="0" w:space="0" w:color="auto"/>
                <w:right w:val="none" w:sz="0" w:space="0" w:color="auto"/>
              </w:divBdr>
            </w:div>
            <w:div w:id="1078596206">
              <w:marLeft w:val="0"/>
              <w:marRight w:val="0"/>
              <w:marTop w:val="0"/>
              <w:marBottom w:val="0"/>
              <w:divBdr>
                <w:top w:val="none" w:sz="0" w:space="0" w:color="auto"/>
                <w:left w:val="none" w:sz="0" w:space="0" w:color="auto"/>
                <w:bottom w:val="none" w:sz="0" w:space="0" w:color="auto"/>
                <w:right w:val="none" w:sz="0" w:space="0" w:color="auto"/>
              </w:divBdr>
            </w:div>
            <w:div w:id="184098250">
              <w:marLeft w:val="0"/>
              <w:marRight w:val="0"/>
              <w:marTop w:val="0"/>
              <w:marBottom w:val="0"/>
              <w:divBdr>
                <w:top w:val="none" w:sz="0" w:space="0" w:color="auto"/>
                <w:left w:val="none" w:sz="0" w:space="0" w:color="auto"/>
                <w:bottom w:val="none" w:sz="0" w:space="0" w:color="auto"/>
                <w:right w:val="none" w:sz="0" w:space="0" w:color="auto"/>
              </w:divBdr>
            </w:div>
            <w:div w:id="1412309085">
              <w:marLeft w:val="0"/>
              <w:marRight w:val="0"/>
              <w:marTop w:val="0"/>
              <w:marBottom w:val="0"/>
              <w:divBdr>
                <w:top w:val="none" w:sz="0" w:space="0" w:color="auto"/>
                <w:left w:val="none" w:sz="0" w:space="0" w:color="auto"/>
                <w:bottom w:val="none" w:sz="0" w:space="0" w:color="auto"/>
                <w:right w:val="none" w:sz="0" w:space="0" w:color="auto"/>
              </w:divBdr>
            </w:div>
            <w:div w:id="536242933">
              <w:marLeft w:val="0"/>
              <w:marRight w:val="0"/>
              <w:marTop w:val="0"/>
              <w:marBottom w:val="0"/>
              <w:divBdr>
                <w:top w:val="none" w:sz="0" w:space="0" w:color="auto"/>
                <w:left w:val="none" w:sz="0" w:space="0" w:color="auto"/>
                <w:bottom w:val="none" w:sz="0" w:space="0" w:color="auto"/>
                <w:right w:val="none" w:sz="0" w:space="0" w:color="auto"/>
              </w:divBdr>
            </w:div>
            <w:div w:id="1825202181">
              <w:marLeft w:val="0"/>
              <w:marRight w:val="0"/>
              <w:marTop w:val="0"/>
              <w:marBottom w:val="0"/>
              <w:divBdr>
                <w:top w:val="none" w:sz="0" w:space="0" w:color="auto"/>
                <w:left w:val="none" w:sz="0" w:space="0" w:color="auto"/>
                <w:bottom w:val="none" w:sz="0" w:space="0" w:color="auto"/>
                <w:right w:val="none" w:sz="0" w:space="0" w:color="auto"/>
              </w:divBdr>
            </w:div>
            <w:div w:id="1193572059">
              <w:marLeft w:val="0"/>
              <w:marRight w:val="0"/>
              <w:marTop w:val="0"/>
              <w:marBottom w:val="0"/>
              <w:divBdr>
                <w:top w:val="none" w:sz="0" w:space="0" w:color="auto"/>
                <w:left w:val="none" w:sz="0" w:space="0" w:color="auto"/>
                <w:bottom w:val="none" w:sz="0" w:space="0" w:color="auto"/>
                <w:right w:val="none" w:sz="0" w:space="0" w:color="auto"/>
              </w:divBdr>
            </w:div>
            <w:div w:id="1456489420">
              <w:marLeft w:val="0"/>
              <w:marRight w:val="0"/>
              <w:marTop w:val="0"/>
              <w:marBottom w:val="0"/>
              <w:divBdr>
                <w:top w:val="none" w:sz="0" w:space="0" w:color="auto"/>
                <w:left w:val="none" w:sz="0" w:space="0" w:color="auto"/>
                <w:bottom w:val="none" w:sz="0" w:space="0" w:color="auto"/>
                <w:right w:val="none" w:sz="0" w:space="0" w:color="auto"/>
              </w:divBdr>
            </w:div>
            <w:div w:id="237860508">
              <w:marLeft w:val="0"/>
              <w:marRight w:val="0"/>
              <w:marTop w:val="0"/>
              <w:marBottom w:val="0"/>
              <w:divBdr>
                <w:top w:val="none" w:sz="0" w:space="0" w:color="auto"/>
                <w:left w:val="none" w:sz="0" w:space="0" w:color="auto"/>
                <w:bottom w:val="none" w:sz="0" w:space="0" w:color="auto"/>
                <w:right w:val="none" w:sz="0" w:space="0" w:color="auto"/>
              </w:divBdr>
            </w:div>
            <w:div w:id="1802188757">
              <w:marLeft w:val="0"/>
              <w:marRight w:val="0"/>
              <w:marTop w:val="0"/>
              <w:marBottom w:val="0"/>
              <w:divBdr>
                <w:top w:val="none" w:sz="0" w:space="0" w:color="auto"/>
                <w:left w:val="none" w:sz="0" w:space="0" w:color="auto"/>
                <w:bottom w:val="none" w:sz="0" w:space="0" w:color="auto"/>
                <w:right w:val="none" w:sz="0" w:space="0" w:color="auto"/>
              </w:divBdr>
            </w:div>
            <w:div w:id="2073967429">
              <w:marLeft w:val="0"/>
              <w:marRight w:val="0"/>
              <w:marTop w:val="0"/>
              <w:marBottom w:val="0"/>
              <w:divBdr>
                <w:top w:val="none" w:sz="0" w:space="0" w:color="auto"/>
                <w:left w:val="none" w:sz="0" w:space="0" w:color="auto"/>
                <w:bottom w:val="none" w:sz="0" w:space="0" w:color="auto"/>
                <w:right w:val="none" w:sz="0" w:space="0" w:color="auto"/>
              </w:divBdr>
            </w:div>
            <w:div w:id="1528055601">
              <w:marLeft w:val="0"/>
              <w:marRight w:val="0"/>
              <w:marTop w:val="0"/>
              <w:marBottom w:val="0"/>
              <w:divBdr>
                <w:top w:val="none" w:sz="0" w:space="0" w:color="auto"/>
                <w:left w:val="none" w:sz="0" w:space="0" w:color="auto"/>
                <w:bottom w:val="none" w:sz="0" w:space="0" w:color="auto"/>
                <w:right w:val="none" w:sz="0" w:space="0" w:color="auto"/>
              </w:divBdr>
            </w:div>
            <w:div w:id="1299915828">
              <w:marLeft w:val="0"/>
              <w:marRight w:val="0"/>
              <w:marTop w:val="0"/>
              <w:marBottom w:val="0"/>
              <w:divBdr>
                <w:top w:val="none" w:sz="0" w:space="0" w:color="auto"/>
                <w:left w:val="none" w:sz="0" w:space="0" w:color="auto"/>
                <w:bottom w:val="none" w:sz="0" w:space="0" w:color="auto"/>
                <w:right w:val="none" w:sz="0" w:space="0" w:color="auto"/>
              </w:divBdr>
            </w:div>
            <w:div w:id="1981304446">
              <w:marLeft w:val="0"/>
              <w:marRight w:val="0"/>
              <w:marTop w:val="0"/>
              <w:marBottom w:val="0"/>
              <w:divBdr>
                <w:top w:val="none" w:sz="0" w:space="0" w:color="auto"/>
                <w:left w:val="none" w:sz="0" w:space="0" w:color="auto"/>
                <w:bottom w:val="none" w:sz="0" w:space="0" w:color="auto"/>
                <w:right w:val="none" w:sz="0" w:space="0" w:color="auto"/>
              </w:divBdr>
            </w:div>
            <w:div w:id="1541554442">
              <w:marLeft w:val="0"/>
              <w:marRight w:val="0"/>
              <w:marTop w:val="0"/>
              <w:marBottom w:val="0"/>
              <w:divBdr>
                <w:top w:val="none" w:sz="0" w:space="0" w:color="auto"/>
                <w:left w:val="none" w:sz="0" w:space="0" w:color="auto"/>
                <w:bottom w:val="none" w:sz="0" w:space="0" w:color="auto"/>
                <w:right w:val="none" w:sz="0" w:space="0" w:color="auto"/>
              </w:divBdr>
            </w:div>
            <w:div w:id="1236891206">
              <w:marLeft w:val="0"/>
              <w:marRight w:val="0"/>
              <w:marTop w:val="0"/>
              <w:marBottom w:val="0"/>
              <w:divBdr>
                <w:top w:val="none" w:sz="0" w:space="0" w:color="auto"/>
                <w:left w:val="none" w:sz="0" w:space="0" w:color="auto"/>
                <w:bottom w:val="none" w:sz="0" w:space="0" w:color="auto"/>
                <w:right w:val="none" w:sz="0" w:space="0" w:color="auto"/>
              </w:divBdr>
            </w:div>
            <w:div w:id="104812644">
              <w:marLeft w:val="0"/>
              <w:marRight w:val="0"/>
              <w:marTop w:val="0"/>
              <w:marBottom w:val="0"/>
              <w:divBdr>
                <w:top w:val="none" w:sz="0" w:space="0" w:color="auto"/>
                <w:left w:val="none" w:sz="0" w:space="0" w:color="auto"/>
                <w:bottom w:val="none" w:sz="0" w:space="0" w:color="auto"/>
                <w:right w:val="none" w:sz="0" w:space="0" w:color="auto"/>
              </w:divBdr>
            </w:div>
            <w:div w:id="651563630">
              <w:marLeft w:val="0"/>
              <w:marRight w:val="0"/>
              <w:marTop w:val="0"/>
              <w:marBottom w:val="0"/>
              <w:divBdr>
                <w:top w:val="none" w:sz="0" w:space="0" w:color="auto"/>
                <w:left w:val="none" w:sz="0" w:space="0" w:color="auto"/>
                <w:bottom w:val="none" w:sz="0" w:space="0" w:color="auto"/>
                <w:right w:val="none" w:sz="0" w:space="0" w:color="auto"/>
              </w:divBdr>
            </w:div>
            <w:div w:id="610287741">
              <w:marLeft w:val="0"/>
              <w:marRight w:val="0"/>
              <w:marTop w:val="0"/>
              <w:marBottom w:val="0"/>
              <w:divBdr>
                <w:top w:val="none" w:sz="0" w:space="0" w:color="auto"/>
                <w:left w:val="none" w:sz="0" w:space="0" w:color="auto"/>
                <w:bottom w:val="none" w:sz="0" w:space="0" w:color="auto"/>
                <w:right w:val="none" w:sz="0" w:space="0" w:color="auto"/>
              </w:divBdr>
            </w:div>
            <w:div w:id="255212472">
              <w:marLeft w:val="0"/>
              <w:marRight w:val="0"/>
              <w:marTop w:val="0"/>
              <w:marBottom w:val="0"/>
              <w:divBdr>
                <w:top w:val="none" w:sz="0" w:space="0" w:color="auto"/>
                <w:left w:val="none" w:sz="0" w:space="0" w:color="auto"/>
                <w:bottom w:val="none" w:sz="0" w:space="0" w:color="auto"/>
                <w:right w:val="none" w:sz="0" w:space="0" w:color="auto"/>
              </w:divBdr>
            </w:div>
            <w:div w:id="609043455">
              <w:marLeft w:val="0"/>
              <w:marRight w:val="0"/>
              <w:marTop w:val="0"/>
              <w:marBottom w:val="0"/>
              <w:divBdr>
                <w:top w:val="none" w:sz="0" w:space="0" w:color="auto"/>
                <w:left w:val="none" w:sz="0" w:space="0" w:color="auto"/>
                <w:bottom w:val="none" w:sz="0" w:space="0" w:color="auto"/>
                <w:right w:val="none" w:sz="0" w:space="0" w:color="auto"/>
              </w:divBdr>
            </w:div>
            <w:div w:id="1008874947">
              <w:marLeft w:val="0"/>
              <w:marRight w:val="0"/>
              <w:marTop w:val="0"/>
              <w:marBottom w:val="0"/>
              <w:divBdr>
                <w:top w:val="none" w:sz="0" w:space="0" w:color="auto"/>
                <w:left w:val="none" w:sz="0" w:space="0" w:color="auto"/>
                <w:bottom w:val="none" w:sz="0" w:space="0" w:color="auto"/>
                <w:right w:val="none" w:sz="0" w:space="0" w:color="auto"/>
              </w:divBdr>
            </w:div>
            <w:div w:id="213739413">
              <w:marLeft w:val="0"/>
              <w:marRight w:val="0"/>
              <w:marTop w:val="0"/>
              <w:marBottom w:val="0"/>
              <w:divBdr>
                <w:top w:val="none" w:sz="0" w:space="0" w:color="auto"/>
                <w:left w:val="none" w:sz="0" w:space="0" w:color="auto"/>
                <w:bottom w:val="none" w:sz="0" w:space="0" w:color="auto"/>
                <w:right w:val="none" w:sz="0" w:space="0" w:color="auto"/>
              </w:divBdr>
            </w:div>
            <w:div w:id="2025277419">
              <w:marLeft w:val="0"/>
              <w:marRight w:val="0"/>
              <w:marTop w:val="0"/>
              <w:marBottom w:val="0"/>
              <w:divBdr>
                <w:top w:val="none" w:sz="0" w:space="0" w:color="auto"/>
                <w:left w:val="none" w:sz="0" w:space="0" w:color="auto"/>
                <w:bottom w:val="none" w:sz="0" w:space="0" w:color="auto"/>
                <w:right w:val="none" w:sz="0" w:space="0" w:color="auto"/>
              </w:divBdr>
            </w:div>
            <w:div w:id="374820217">
              <w:marLeft w:val="0"/>
              <w:marRight w:val="0"/>
              <w:marTop w:val="0"/>
              <w:marBottom w:val="0"/>
              <w:divBdr>
                <w:top w:val="none" w:sz="0" w:space="0" w:color="auto"/>
                <w:left w:val="none" w:sz="0" w:space="0" w:color="auto"/>
                <w:bottom w:val="none" w:sz="0" w:space="0" w:color="auto"/>
                <w:right w:val="none" w:sz="0" w:space="0" w:color="auto"/>
              </w:divBdr>
            </w:div>
            <w:div w:id="691151328">
              <w:marLeft w:val="0"/>
              <w:marRight w:val="0"/>
              <w:marTop w:val="0"/>
              <w:marBottom w:val="0"/>
              <w:divBdr>
                <w:top w:val="none" w:sz="0" w:space="0" w:color="auto"/>
                <w:left w:val="none" w:sz="0" w:space="0" w:color="auto"/>
                <w:bottom w:val="none" w:sz="0" w:space="0" w:color="auto"/>
                <w:right w:val="none" w:sz="0" w:space="0" w:color="auto"/>
              </w:divBdr>
            </w:div>
            <w:div w:id="548997155">
              <w:marLeft w:val="0"/>
              <w:marRight w:val="0"/>
              <w:marTop w:val="0"/>
              <w:marBottom w:val="0"/>
              <w:divBdr>
                <w:top w:val="none" w:sz="0" w:space="0" w:color="auto"/>
                <w:left w:val="none" w:sz="0" w:space="0" w:color="auto"/>
                <w:bottom w:val="none" w:sz="0" w:space="0" w:color="auto"/>
                <w:right w:val="none" w:sz="0" w:space="0" w:color="auto"/>
              </w:divBdr>
            </w:div>
            <w:div w:id="772628959">
              <w:marLeft w:val="0"/>
              <w:marRight w:val="0"/>
              <w:marTop w:val="0"/>
              <w:marBottom w:val="0"/>
              <w:divBdr>
                <w:top w:val="none" w:sz="0" w:space="0" w:color="auto"/>
                <w:left w:val="none" w:sz="0" w:space="0" w:color="auto"/>
                <w:bottom w:val="none" w:sz="0" w:space="0" w:color="auto"/>
                <w:right w:val="none" w:sz="0" w:space="0" w:color="auto"/>
              </w:divBdr>
            </w:div>
            <w:div w:id="1354915143">
              <w:marLeft w:val="0"/>
              <w:marRight w:val="0"/>
              <w:marTop w:val="0"/>
              <w:marBottom w:val="0"/>
              <w:divBdr>
                <w:top w:val="none" w:sz="0" w:space="0" w:color="auto"/>
                <w:left w:val="none" w:sz="0" w:space="0" w:color="auto"/>
                <w:bottom w:val="none" w:sz="0" w:space="0" w:color="auto"/>
                <w:right w:val="none" w:sz="0" w:space="0" w:color="auto"/>
              </w:divBdr>
            </w:div>
            <w:div w:id="514348847">
              <w:marLeft w:val="0"/>
              <w:marRight w:val="0"/>
              <w:marTop w:val="0"/>
              <w:marBottom w:val="0"/>
              <w:divBdr>
                <w:top w:val="none" w:sz="0" w:space="0" w:color="auto"/>
                <w:left w:val="none" w:sz="0" w:space="0" w:color="auto"/>
                <w:bottom w:val="none" w:sz="0" w:space="0" w:color="auto"/>
                <w:right w:val="none" w:sz="0" w:space="0" w:color="auto"/>
              </w:divBdr>
            </w:div>
            <w:div w:id="1382824975">
              <w:marLeft w:val="0"/>
              <w:marRight w:val="0"/>
              <w:marTop w:val="0"/>
              <w:marBottom w:val="0"/>
              <w:divBdr>
                <w:top w:val="none" w:sz="0" w:space="0" w:color="auto"/>
                <w:left w:val="none" w:sz="0" w:space="0" w:color="auto"/>
                <w:bottom w:val="none" w:sz="0" w:space="0" w:color="auto"/>
                <w:right w:val="none" w:sz="0" w:space="0" w:color="auto"/>
              </w:divBdr>
            </w:div>
            <w:div w:id="881553702">
              <w:marLeft w:val="0"/>
              <w:marRight w:val="0"/>
              <w:marTop w:val="0"/>
              <w:marBottom w:val="0"/>
              <w:divBdr>
                <w:top w:val="none" w:sz="0" w:space="0" w:color="auto"/>
                <w:left w:val="none" w:sz="0" w:space="0" w:color="auto"/>
                <w:bottom w:val="none" w:sz="0" w:space="0" w:color="auto"/>
                <w:right w:val="none" w:sz="0" w:space="0" w:color="auto"/>
              </w:divBdr>
            </w:div>
            <w:div w:id="1718505068">
              <w:marLeft w:val="0"/>
              <w:marRight w:val="0"/>
              <w:marTop w:val="0"/>
              <w:marBottom w:val="0"/>
              <w:divBdr>
                <w:top w:val="none" w:sz="0" w:space="0" w:color="auto"/>
                <w:left w:val="none" w:sz="0" w:space="0" w:color="auto"/>
                <w:bottom w:val="none" w:sz="0" w:space="0" w:color="auto"/>
                <w:right w:val="none" w:sz="0" w:space="0" w:color="auto"/>
              </w:divBdr>
            </w:div>
            <w:div w:id="877008600">
              <w:marLeft w:val="0"/>
              <w:marRight w:val="0"/>
              <w:marTop w:val="0"/>
              <w:marBottom w:val="0"/>
              <w:divBdr>
                <w:top w:val="none" w:sz="0" w:space="0" w:color="auto"/>
                <w:left w:val="none" w:sz="0" w:space="0" w:color="auto"/>
                <w:bottom w:val="none" w:sz="0" w:space="0" w:color="auto"/>
                <w:right w:val="none" w:sz="0" w:space="0" w:color="auto"/>
              </w:divBdr>
            </w:div>
            <w:div w:id="1608612254">
              <w:marLeft w:val="0"/>
              <w:marRight w:val="0"/>
              <w:marTop w:val="0"/>
              <w:marBottom w:val="0"/>
              <w:divBdr>
                <w:top w:val="none" w:sz="0" w:space="0" w:color="auto"/>
                <w:left w:val="none" w:sz="0" w:space="0" w:color="auto"/>
                <w:bottom w:val="none" w:sz="0" w:space="0" w:color="auto"/>
                <w:right w:val="none" w:sz="0" w:space="0" w:color="auto"/>
              </w:divBdr>
            </w:div>
            <w:div w:id="1255895630">
              <w:marLeft w:val="0"/>
              <w:marRight w:val="0"/>
              <w:marTop w:val="0"/>
              <w:marBottom w:val="0"/>
              <w:divBdr>
                <w:top w:val="none" w:sz="0" w:space="0" w:color="auto"/>
                <w:left w:val="none" w:sz="0" w:space="0" w:color="auto"/>
                <w:bottom w:val="none" w:sz="0" w:space="0" w:color="auto"/>
                <w:right w:val="none" w:sz="0" w:space="0" w:color="auto"/>
              </w:divBdr>
            </w:div>
            <w:div w:id="1388535047">
              <w:marLeft w:val="0"/>
              <w:marRight w:val="0"/>
              <w:marTop w:val="0"/>
              <w:marBottom w:val="0"/>
              <w:divBdr>
                <w:top w:val="none" w:sz="0" w:space="0" w:color="auto"/>
                <w:left w:val="none" w:sz="0" w:space="0" w:color="auto"/>
                <w:bottom w:val="none" w:sz="0" w:space="0" w:color="auto"/>
                <w:right w:val="none" w:sz="0" w:space="0" w:color="auto"/>
              </w:divBdr>
            </w:div>
            <w:div w:id="6954919">
              <w:marLeft w:val="0"/>
              <w:marRight w:val="0"/>
              <w:marTop w:val="0"/>
              <w:marBottom w:val="0"/>
              <w:divBdr>
                <w:top w:val="none" w:sz="0" w:space="0" w:color="auto"/>
                <w:left w:val="none" w:sz="0" w:space="0" w:color="auto"/>
                <w:bottom w:val="none" w:sz="0" w:space="0" w:color="auto"/>
                <w:right w:val="none" w:sz="0" w:space="0" w:color="auto"/>
              </w:divBdr>
            </w:div>
            <w:div w:id="1479296387">
              <w:marLeft w:val="0"/>
              <w:marRight w:val="0"/>
              <w:marTop w:val="0"/>
              <w:marBottom w:val="0"/>
              <w:divBdr>
                <w:top w:val="none" w:sz="0" w:space="0" w:color="auto"/>
                <w:left w:val="none" w:sz="0" w:space="0" w:color="auto"/>
                <w:bottom w:val="none" w:sz="0" w:space="0" w:color="auto"/>
                <w:right w:val="none" w:sz="0" w:space="0" w:color="auto"/>
              </w:divBdr>
            </w:div>
            <w:div w:id="1295211281">
              <w:marLeft w:val="0"/>
              <w:marRight w:val="0"/>
              <w:marTop w:val="0"/>
              <w:marBottom w:val="0"/>
              <w:divBdr>
                <w:top w:val="none" w:sz="0" w:space="0" w:color="auto"/>
                <w:left w:val="none" w:sz="0" w:space="0" w:color="auto"/>
                <w:bottom w:val="none" w:sz="0" w:space="0" w:color="auto"/>
                <w:right w:val="none" w:sz="0" w:space="0" w:color="auto"/>
              </w:divBdr>
            </w:div>
            <w:div w:id="892811897">
              <w:marLeft w:val="0"/>
              <w:marRight w:val="0"/>
              <w:marTop w:val="0"/>
              <w:marBottom w:val="0"/>
              <w:divBdr>
                <w:top w:val="none" w:sz="0" w:space="0" w:color="auto"/>
                <w:left w:val="none" w:sz="0" w:space="0" w:color="auto"/>
                <w:bottom w:val="none" w:sz="0" w:space="0" w:color="auto"/>
                <w:right w:val="none" w:sz="0" w:space="0" w:color="auto"/>
              </w:divBdr>
            </w:div>
            <w:div w:id="1203907152">
              <w:marLeft w:val="0"/>
              <w:marRight w:val="0"/>
              <w:marTop w:val="0"/>
              <w:marBottom w:val="0"/>
              <w:divBdr>
                <w:top w:val="none" w:sz="0" w:space="0" w:color="auto"/>
                <w:left w:val="none" w:sz="0" w:space="0" w:color="auto"/>
                <w:bottom w:val="none" w:sz="0" w:space="0" w:color="auto"/>
                <w:right w:val="none" w:sz="0" w:space="0" w:color="auto"/>
              </w:divBdr>
            </w:div>
            <w:div w:id="1637486858">
              <w:marLeft w:val="0"/>
              <w:marRight w:val="0"/>
              <w:marTop w:val="0"/>
              <w:marBottom w:val="0"/>
              <w:divBdr>
                <w:top w:val="none" w:sz="0" w:space="0" w:color="auto"/>
                <w:left w:val="none" w:sz="0" w:space="0" w:color="auto"/>
                <w:bottom w:val="none" w:sz="0" w:space="0" w:color="auto"/>
                <w:right w:val="none" w:sz="0" w:space="0" w:color="auto"/>
              </w:divBdr>
            </w:div>
            <w:div w:id="776825352">
              <w:marLeft w:val="0"/>
              <w:marRight w:val="0"/>
              <w:marTop w:val="0"/>
              <w:marBottom w:val="0"/>
              <w:divBdr>
                <w:top w:val="none" w:sz="0" w:space="0" w:color="auto"/>
                <w:left w:val="none" w:sz="0" w:space="0" w:color="auto"/>
                <w:bottom w:val="none" w:sz="0" w:space="0" w:color="auto"/>
                <w:right w:val="none" w:sz="0" w:space="0" w:color="auto"/>
              </w:divBdr>
            </w:div>
            <w:div w:id="1553954896">
              <w:marLeft w:val="0"/>
              <w:marRight w:val="0"/>
              <w:marTop w:val="0"/>
              <w:marBottom w:val="0"/>
              <w:divBdr>
                <w:top w:val="none" w:sz="0" w:space="0" w:color="auto"/>
                <w:left w:val="none" w:sz="0" w:space="0" w:color="auto"/>
                <w:bottom w:val="none" w:sz="0" w:space="0" w:color="auto"/>
                <w:right w:val="none" w:sz="0" w:space="0" w:color="auto"/>
              </w:divBdr>
            </w:div>
            <w:div w:id="9576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42887">
      <w:bodyDiv w:val="1"/>
      <w:marLeft w:val="0"/>
      <w:marRight w:val="0"/>
      <w:marTop w:val="0"/>
      <w:marBottom w:val="0"/>
      <w:divBdr>
        <w:top w:val="none" w:sz="0" w:space="0" w:color="auto"/>
        <w:left w:val="none" w:sz="0" w:space="0" w:color="auto"/>
        <w:bottom w:val="none" w:sz="0" w:space="0" w:color="auto"/>
        <w:right w:val="none" w:sz="0" w:space="0" w:color="auto"/>
      </w:divBdr>
    </w:div>
    <w:div w:id="616522684">
      <w:bodyDiv w:val="1"/>
      <w:marLeft w:val="0"/>
      <w:marRight w:val="0"/>
      <w:marTop w:val="0"/>
      <w:marBottom w:val="0"/>
      <w:divBdr>
        <w:top w:val="none" w:sz="0" w:space="0" w:color="auto"/>
        <w:left w:val="none" w:sz="0" w:space="0" w:color="auto"/>
        <w:bottom w:val="none" w:sz="0" w:space="0" w:color="auto"/>
        <w:right w:val="none" w:sz="0" w:space="0" w:color="auto"/>
      </w:divBdr>
    </w:div>
    <w:div w:id="622493039">
      <w:bodyDiv w:val="1"/>
      <w:marLeft w:val="0"/>
      <w:marRight w:val="0"/>
      <w:marTop w:val="0"/>
      <w:marBottom w:val="0"/>
      <w:divBdr>
        <w:top w:val="none" w:sz="0" w:space="0" w:color="auto"/>
        <w:left w:val="none" w:sz="0" w:space="0" w:color="auto"/>
        <w:bottom w:val="none" w:sz="0" w:space="0" w:color="auto"/>
        <w:right w:val="none" w:sz="0" w:space="0" w:color="auto"/>
      </w:divBdr>
    </w:div>
    <w:div w:id="721827459">
      <w:bodyDiv w:val="1"/>
      <w:marLeft w:val="0"/>
      <w:marRight w:val="0"/>
      <w:marTop w:val="0"/>
      <w:marBottom w:val="0"/>
      <w:divBdr>
        <w:top w:val="none" w:sz="0" w:space="0" w:color="auto"/>
        <w:left w:val="none" w:sz="0" w:space="0" w:color="auto"/>
        <w:bottom w:val="none" w:sz="0" w:space="0" w:color="auto"/>
        <w:right w:val="none" w:sz="0" w:space="0" w:color="auto"/>
      </w:divBdr>
    </w:div>
    <w:div w:id="765005051">
      <w:bodyDiv w:val="1"/>
      <w:marLeft w:val="0"/>
      <w:marRight w:val="0"/>
      <w:marTop w:val="0"/>
      <w:marBottom w:val="0"/>
      <w:divBdr>
        <w:top w:val="none" w:sz="0" w:space="0" w:color="auto"/>
        <w:left w:val="none" w:sz="0" w:space="0" w:color="auto"/>
        <w:bottom w:val="none" w:sz="0" w:space="0" w:color="auto"/>
        <w:right w:val="none" w:sz="0" w:space="0" w:color="auto"/>
      </w:divBdr>
    </w:div>
    <w:div w:id="792679195">
      <w:bodyDiv w:val="1"/>
      <w:marLeft w:val="0"/>
      <w:marRight w:val="0"/>
      <w:marTop w:val="0"/>
      <w:marBottom w:val="0"/>
      <w:divBdr>
        <w:top w:val="none" w:sz="0" w:space="0" w:color="auto"/>
        <w:left w:val="none" w:sz="0" w:space="0" w:color="auto"/>
        <w:bottom w:val="none" w:sz="0" w:space="0" w:color="auto"/>
        <w:right w:val="none" w:sz="0" w:space="0" w:color="auto"/>
      </w:divBdr>
    </w:div>
    <w:div w:id="813713627">
      <w:bodyDiv w:val="1"/>
      <w:marLeft w:val="0"/>
      <w:marRight w:val="0"/>
      <w:marTop w:val="0"/>
      <w:marBottom w:val="0"/>
      <w:divBdr>
        <w:top w:val="none" w:sz="0" w:space="0" w:color="auto"/>
        <w:left w:val="none" w:sz="0" w:space="0" w:color="auto"/>
        <w:bottom w:val="none" w:sz="0" w:space="0" w:color="auto"/>
        <w:right w:val="none" w:sz="0" w:space="0" w:color="auto"/>
      </w:divBdr>
    </w:div>
    <w:div w:id="907033033">
      <w:bodyDiv w:val="1"/>
      <w:marLeft w:val="0"/>
      <w:marRight w:val="0"/>
      <w:marTop w:val="0"/>
      <w:marBottom w:val="0"/>
      <w:divBdr>
        <w:top w:val="none" w:sz="0" w:space="0" w:color="auto"/>
        <w:left w:val="none" w:sz="0" w:space="0" w:color="auto"/>
        <w:bottom w:val="none" w:sz="0" w:space="0" w:color="auto"/>
        <w:right w:val="none" w:sz="0" w:space="0" w:color="auto"/>
      </w:divBdr>
    </w:div>
    <w:div w:id="965238630">
      <w:bodyDiv w:val="1"/>
      <w:marLeft w:val="0"/>
      <w:marRight w:val="0"/>
      <w:marTop w:val="0"/>
      <w:marBottom w:val="0"/>
      <w:divBdr>
        <w:top w:val="none" w:sz="0" w:space="0" w:color="auto"/>
        <w:left w:val="none" w:sz="0" w:space="0" w:color="auto"/>
        <w:bottom w:val="none" w:sz="0" w:space="0" w:color="auto"/>
        <w:right w:val="none" w:sz="0" w:space="0" w:color="auto"/>
      </w:divBdr>
    </w:div>
    <w:div w:id="974061634">
      <w:bodyDiv w:val="1"/>
      <w:marLeft w:val="0"/>
      <w:marRight w:val="0"/>
      <w:marTop w:val="0"/>
      <w:marBottom w:val="0"/>
      <w:divBdr>
        <w:top w:val="none" w:sz="0" w:space="0" w:color="auto"/>
        <w:left w:val="none" w:sz="0" w:space="0" w:color="auto"/>
        <w:bottom w:val="none" w:sz="0" w:space="0" w:color="auto"/>
        <w:right w:val="none" w:sz="0" w:space="0" w:color="auto"/>
      </w:divBdr>
    </w:div>
    <w:div w:id="989676188">
      <w:bodyDiv w:val="1"/>
      <w:marLeft w:val="0"/>
      <w:marRight w:val="0"/>
      <w:marTop w:val="0"/>
      <w:marBottom w:val="0"/>
      <w:divBdr>
        <w:top w:val="none" w:sz="0" w:space="0" w:color="auto"/>
        <w:left w:val="none" w:sz="0" w:space="0" w:color="auto"/>
        <w:bottom w:val="none" w:sz="0" w:space="0" w:color="auto"/>
        <w:right w:val="none" w:sz="0" w:space="0" w:color="auto"/>
      </w:divBdr>
    </w:div>
    <w:div w:id="1089502894">
      <w:bodyDiv w:val="1"/>
      <w:marLeft w:val="0"/>
      <w:marRight w:val="0"/>
      <w:marTop w:val="0"/>
      <w:marBottom w:val="0"/>
      <w:divBdr>
        <w:top w:val="none" w:sz="0" w:space="0" w:color="auto"/>
        <w:left w:val="none" w:sz="0" w:space="0" w:color="auto"/>
        <w:bottom w:val="none" w:sz="0" w:space="0" w:color="auto"/>
        <w:right w:val="none" w:sz="0" w:space="0" w:color="auto"/>
      </w:divBdr>
    </w:div>
    <w:div w:id="1173447911">
      <w:bodyDiv w:val="1"/>
      <w:marLeft w:val="0"/>
      <w:marRight w:val="0"/>
      <w:marTop w:val="0"/>
      <w:marBottom w:val="0"/>
      <w:divBdr>
        <w:top w:val="none" w:sz="0" w:space="0" w:color="auto"/>
        <w:left w:val="none" w:sz="0" w:space="0" w:color="auto"/>
        <w:bottom w:val="none" w:sz="0" w:space="0" w:color="auto"/>
        <w:right w:val="none" w:sz="0" w:space="0" w:color="auto"/>
      </w:divBdr>
    </w:div>
    <w:div w:id="1272319673">
      <w:bodyDiv w:val="1"/>
      <w:marLeft w:val="0"/>
      <w:marRight w:val="0"/>
      <w:marTop w:val="0"/>
      <w:marBottom w:val="0"/>
      <w:divBdr>
        <w:top w:val="none" w:sz="0" w:space="0" w:color="auto"/>
        <w:left w:val="none" w:sz="0" w:space="0" w:color="auto"/>
        <w:bottom w:val="none" w:sz="0" w:space="0" w:color="auto"/>
        <w:right w:val="none" w:sz="0" w:space="0" w:color="auto"/>
      </w:divBdr>
    </w:div>
    <w:div w:id="1349990856">
      <w:bodyDiv w:val="1"/>
      <w:marLeft w:val="0"/>
      <w:marRight w:val="0"/>
      <w:marTop w:val="0"/>
      <w:marBottom w:val="0"/>
      <w:divBdr>
        <w:top w:val="none" w:sz="0" w:space="0" w:color="auto"/>
        <w:left w:val="none" w:sz="0" w:space="0" w:color="auto"/>
        <w:bottom w:val="none" w:sz="0" w:space="0" w:color="auto"/>
        <w:right w:val="none" w:sz="0" w:space="0" w:color="auto"/>
      </w:divBdr>
    </w:div>
    <w:div w:id="1364088391">
      <w:bodyDiv w:val="1"/>
      <w:marLeft w:val="0"/>
      <w:marRight w:val="0"/>
      <w:marTop w:val="0"/>
      <w:marBottom w:val="0"/>
      <w:divBdr>
        <w:top w:val="none" w:sz="0" w:space="0" w:color="auto"/>
        <w:left w:val="none" w:sz="0" w:space="0" w:color="auto"/>
        <w:bottom w:val="none" w:sz="0" w:space="0" w:color="auto"/>
        <w:right w:val="none" w:sz="0" w:space="0" w:color="auto"/>
      </w:divBdr>
    </w:div>
    <w:div w:id="1405647177">
      <w:bodyDiv w:val="1"/>
      <w:marLeft w:val="0"/>
      <w:marRight w:val="0"/>
      <w:marTop w:val="0"/>
      <w:marBottom w:val="0"/>
      <w:divBdr>
        <w:top w:val="none" w:sz="0" w:space="0" w:color="auto"/>
        <w:left w:val="none" w:sz="0" w:space="0" w:color="auto"/>
        <w:bottom w:val="none" w:sz="0" w:space="0" w:color="auto"/>
        <w:right w:val="none" w:sz="0" w:space="0" w:color="auto"/>
      </w:divBdr>
    </w:div>
    <w:div w:id="1411777692">
      <w:bodyDiv w:val="1"/>
      <w:marLeft w:val="0"/>
      <w:marRight w:val="0"/>
      <w:marTop w:val="0"/>
      <w:marBottom w:val="0"/>
      <w:divBdr>
        <w:top w:val="none" w:sz="0" w:space="0" w:color="auto"/>
        <w:left w:val="none" w:sz="0" w:space="0" w:color="auto"/>
        <w:bottom w:val="none" w:sz="0" w:space="0" w:color="auto"/>
        <w:right w:val="none" w:sz="0" w:space="0" w:color="auto"/>
      </w:divBdr>
    </w:div>
    <w:div w:id="1544974313">
      <w:bodyDiv w:val="1"/>
      <w:marLeft w:val="0"/>
      <w:marRight w:val="0"/>
      <w:marTop w:val="0"/>
      <w:marBottom w:val="0"/>
      <w:divBdr>
        <w:top w:val="none" w:sz="0" w:space="0" w:color="auto"/>
        <w:left w:val="none" w:sz="0" w:space="0" w:color="auto"/>
        <w:bottom w:val="none" w:sz="0" w:space="0" w:color="auto"/>
        <w:right w:val="none" w:sz="0" w:space="0" w:color="auto"/>
      </w:divBdr>
    </w:div>
    <w:div w:id="1581913464">
      <w:bodyDiv w:val="1"/>
      <w:marLeft w:val="0"/>
      <w:marRight w:val="0"/>
      <w:marTop w:val="0"/>
      <w:marBottom w:val="0"/>
      <w:divBdr>
        <w:top w:val="none" w:sz="0" w:space="0" w:color="auto"/>
        <w:left w:val="none" w:sz="0" w:space="0" w:color="auto"/>
        <w:bottom w:val="none" w:sz="0" w:space="0" w:color="auto"/>
        <w:right w:val="none" w:sz="0" w:space="0" w:color="auto"/>
      </w:divBdr>
    </w:div>
    <w:div w:id="1586648713">
      <w:bodyDiv w:val="1"/>
      <w:marLeft w:val="0"/>
      <w:marRight w:val="0"/>
      <w:marTop w:val="0"/>
      <w:marBottom w:val="0"/>
      <w:divBdr>
        <w:top w:val="none" w:sz="0" w:space="0" w:color="auto"/>
        <w:left w:val="none" w:sz="0" w:space="0" w:color="auto"/>
        <w:bottom w:val="none" w:sz="0" w:space="0" w:color="auto"/>
        <w:right w:val="none" w:sz="0" w:space="0" w:color="auto"/>
      </w:divBdr>
    </w:div>
    <w:div w:id="1742101140">
      <w:bodyDiv w:val="1"/>
      <w:marLeft w:val="0"/>
      <w:marRight w:val="0"/>
      <w:marTop w:val="0"/>
      <w:marBottom w:val="0"/>
      <w:divBdr>
        <w:top w:val="none" w:sz="0" w:space="0" w:color="auto"/>
        <w:left w:val="none" w:sz="0" w:space="0" w:color="auto"/>
        <w:bottom w:val="none" w:sz="0" w:space="0" w:color="auto"/>
        <w:right w:val="none" w:sz="0" w:space="0" w:color="auto"/>
      </w:divBdr>
    </w:div>
    <w:div w:id="1749620321">
      <w:bodyDiv w:val="1"/>
      <w:marLeft w:val="0"/>
      <w:marRight w:val="0"/>
      <w:marTop w:val="0"/>
      <w:marBottom w:val="0"/>
      <w:divBdr>
        <w:top w:val="none" w:sz="0" w:space="0" w:color="auto"/>
        <w:left w:val="none" w:sz="0" w:space="0" w:color="auto"/>
        <w:bottom w:val="none" w:sz="0" w:space="0" w:color="auto"/>
        <w:right w:val="none" w:sz="0" w:space="0" w:color="auto"/>
      </w:divBdr>
    </w:div>
    <w:div w:id="1824158117">
      <w:bodyDiv w:val="1"/>
      <w:marLeft w:val="0"/>
      <w:marRight w:val="0"/>
      <w:marTop w:val="0"/>
      <w:marBottom w:val="0"/>
      <w:divBdr>
        <w:top w:val="none" w:sz="0" w:space="0" w:color="auto"/>
        <w:left w:val="none" w:sz="0" w:space="0" w:color="auto"/>
        <w:bottom w:val="none" w:sz="0" w:space="0" w:color="auto"/>
        <w:right w:val="none" w:sz="0" w:space="0" w:color="auto"/>
      </w:divBdr>
    </w:div>
    <w:div w:id="1920602404">
      <w:bodyDiv w:val="1"/>
      <w:marLeft w:val="0"/>
      <w:marRight w:val="0"/>
      <w:marTop w:val="0"/>
      <w:marBottom w:val="0"/>
      <w:divBdr>
        <w:top w:val="none" w:sz="0" w:space="0" w:color="auto"/>
        <w:left w:val="none" w:sz="0" w:space="0" w:color="auto"/>
        <w:bottom w:val="none" w:sz="0" w:space="0" w:color="auto"/>
        <w:right w:val="none" w:sz="0" w:space="0" w:color="auto"/>
      </w:divBdr>
    </w:div>
    <w:div w:id="1992174895">
      <w:bodyDiv w:val="1"/>
      <w:marLeft w:val="0"/>
      <w:marRight w:val="0"/>
      <w:marTop w:val="0"/>
      <w:marBottom w:val="0"/>
      <w:divBdr>
        <w:top w:val="none" w:sz="0" w:space="0" w:color="auto"/>
        <w:left w:val="none" w:sz="0" w:space="0" w:color="auto"/>
        <w:bottom w:val="none" w:sz="0" w:space="0" w:color="auto"/>
        <w:right w:val="none" w:sz="0" w:space="0" w:color="auto"/>
      </w:divBdr>
    </w:div>
    <w:div w:id="2078167903">
      <w:bodyDiv w:val="1"/>
      <w:marLeft w:val="0"/>
      <w:marRight w:val="0"/>
      <w:marTop w:val="0"/>
      <w:marBottom w:val="0"/>
      <w:divBdr>
        <w:top w:val="none" w:sz="0" w:space="0" w:color="auto"/>
        <w:left w:val="none" w:sz="0" w:space="0" w:color="auto"/>
        <w:bottom w:val="none" w:sz="0" w:space="0" w:color="auto"/>
        <w:right w:val="none" w:sz="0" w:space="0" w:color="auto"/>
      </w:divBdr>
    </w:div>
    <w:div w:id="210333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chart" Target="charts/chart7.xml"/><Relationship Id="rId39" Type="http://schemas.openxmlformats.org/officeDocument/2006/relationships/hyperlink" Target="https://www.scopus.com/authid/detail.uri?authorId=57217176953" TargetMode="External"/><Relationship Id="rId21" Type="http://schemas.openxmlformats.org/officeDocument/2006/relationships/chart" Target="charts/chart2.xml"/><Relationship Id="rId34" Type="http://schemas.openxmlformats.org/officeDocument/2006/relationships/hyperlink" Target="https://www.scopus.com/authid/detail.uri?authorId=57222284692" TargetMode="External"/><Relationship Id="rId42" Type="http://schemas.openxmlformats.org/officeDocument/2006/relationships/hyperlink" Target="https://www.scopus.com/authid/detail.uri?authorId=57194601300" TargetMode="External"/><Relationship Id="rId47" Type="http://schemas.openxmlformats.org/officeDocument/2006/relationships/hyperlink" Target="https://www.scopus.com/authid/detail.uri?authorId=57212090148" TargetMode="External"/><Relationship Id="rId50" Type="http://schemas.openxmlformats.org/officeDocument/2006/relationships/hyperlink" Target="https://www.scopus.com/authid/detail.uri?authorId=5722228469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chart" Target="charts/chart10.xml"/><Relationship Id="rId11" Type="http://schemas.openxmlformats.org/officeDocument/2006/relationships/hyperlink" Target="mailto:teguh160395@yahoo.com" TargetMode="External"/><Relationship Id="rId24" Type="http://schemas.openxmlformats.org/officeDocument/2006/relationships/chart" Target="charts/chart5.xml"/><Relationship Id="rId32" Type="http://schemas.openxmlformats.org/officeDocument/2006/relationships/hyperlink" Target="https://doi.org/10.5897/ajar10.274" TargetMode="External"/><Relationship Id="rId37" Type="http://schemas.openxmlformats.org/officeDocument/2006/relationships/hyperlink" Target="https://www.scopus.com/authid/detail.uri?authorId=57223974681" TargetMode="External"/><Relationship Id="rId40" Type="http://schemas.openxmlformats.org/officeDocument/2006/relationships/hyperlink" Target="https://www.scopus.com/authid/detail.uri?authorId=57222284692" TargetMode="External"/><Relationship Id="rId45" Type="http://schemas.openxmlformats.org/officeDocument/2006/relationships/hyperlink" Target="https://www.scopus.com/authid/detail.uri?authorId=57222284692"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scopus.com/redirect.uri?url=https://orcid.org/0000-0002-7056-4405&amp;authorId=57222284692&amp;origin=AuthorProfile&amp;orcId=0000-0002-7056-4405&amp;category=orcidLink" TargetMode="External"/><Relationship Id="rId19" Type="http://schemas.openxmlformats.org/officeDocument/2006/relationships/image" Target="media/image5.png"/><Relationship Id="rId31" Type="http://schemas.openxmlformats.org/officeDocument/2006/relationships/image" Target="media/image7.png"/><Relationship Id="rId44" Type="http://schemas.openxmlformats.org/officeDocument/2006/relationships/hyperlink" Target="https://www.scopus.com/authid/detail.uri?authorId=57222284692" TargetMode="External"/><Relationship Id="rId52" Type="http://schemas.openxmlformats.org/officeDocument/2006/relationships/hyperlink" Target="https://doi.org/10.5772/62082" TargetMode="External"/><Relationship Id="rId4" Type="http://schemas.openxmlformats.org/officeDocument/2006/relationships/settings" Target="settings.xml"/><Relationship Id="rId9" Type="http://schemas.openxmlformats.org/officeDocument/2006/relationships/hyperlink" Target="mailto:2031612003_amsar@student.unand.ac.id" TargetMode="External"/><Relationship Id="rId14" Type="http://schemas.openxmlformats.org/officeDocument/2006/relationships/image" Target="media/image1.png"/><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image" Target="media/image6.png"/><Relationship Id="rId35" Type="http://schemas.openxmlformats.org/officeDocument/2006/relationships/hyperlink" Target="https://www.scopus.com/authid/detail.uri?authorId=57217176953" TargetMode="External"/><Relationship Id="rId43" Type="http://schemas.openxmlformats.org/officeDocument/2006/relationships/hyperlink" Target="https://www.scopus.com/authid/detail.uri?authorId=57223974681" TargetMode="External"/><Relationship Id="rId48" Type="http://schemas.openxmlformats.org/officeDocument/2006/relationships/hyperlink" Target="https://www.scopus.com/authid/detail.uri?authorId=57202349650" TargetMode="External"/><Relationship Id="rId8" Type="http://schemas.openxmlformats.org/officeDocument/2006/relationships/hyperlink" Target="mailto:herviyanti@agr.unand.ac.id" TargetMode="External"/><Relationship Id="rId51" Type="http://schemas.openxmlformats.org/officeDocument/2006/relationships/hyperlink" Target="https://doi.org/10.15243/jdmlm.2014.021.259"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chart" Target="charts/chart6.xml"/><Relationship Id="rId33" Type="http://schemas.openxmlformats.org/officeDocument/2006/relationships/hyperlink" Target="https://www.scopus.com/authid/detail.uri?authorId=57194601300" TargetMode="External"/><Relationship Id="rId38" Type="http://schemas.openxmlformats.org/officeDocument/2006/relationships/hyperlink" Target="https://www.scopus.com/authid/detail.uri?authorId=57222284692" TargetMode="External"/><Relationship Id="rId46" Type="http://schemas.openxmlformats.org/officeDocument/2006/relationships/hyperlink" Target="https://www.scopus.com/authid/detail.uri?authorId=57194601300" TargetMode="External"/><Relationship Id="rId20" Type="http://schemas.openxmlformats.org/officeDocument/2006/relationships/chart" Target="charts/chart1.xml"/><Relationship Id="rId41" Type="http://schemas.openxmlformats.org/officeDocument/2006/relationships/hyperlink" Target="https://www.scopus.com/authid/detail.uri?authorId=56481653500"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ubchem.ncbi.nlm.nih.gov/" TargetMode="External"/><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hyperlink" Target="https://www.scopus.com/authid/detail.uri?authorId=57212090148" TargetMode="External"/><Relationship Id="rId49" Type="http://schemas.openxmlformats.org/officeDocument/2006/relationships/hyperlink" Target="https://www.scopus.com/authid/detail.uri?authorId=57217176953"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KOMPRE\PROJECT\PROJECT%202021%202023%20-%20GB%20UA\EXCEL%20GB%20NEW%20-%20Cop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KOMPRE\PROJECT\PROJECT%202021%202023%20-%20GB%20UA\EXCEL%20GB%20NEW%20-%20Cop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adsorbsi%20Bahan%20baku%20sekam%20pad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a:noFill/>
            </a:ln>
          </c:spPr>
          <c:marker>
            <c:symbol val="square"/>
            <c:size val="5"/>
            <c:spPr>
              <a:solidFill>
                <a:srgbClr val="FFC000"/>
              </a:solidFill>
              <a:ln>
                <a:noFill/>
              </a:ln>
            </c:spPr>
          </c:marker>
          <c:trendline>
            <c:spPr>
              <a:ln w="19050">
                <a:prstDash val="dash"/>
              </a:ln>
            </c:spPr>
            <c:trendlineType val="linear"/>
            <c:dispRSqr val="1"/>
            <c:dispEq val="1"/>
            <c:trendlineLbl>
              <c:layout>
                <c:manualLayout>
                  <c:x val="-0.1698493356790636"/>
                  <c:y val="-0.18504147574693214"/>
                </c:manualLayout>
              </c:layout>
              <c:tx>
                <c:rich>
                  <a:bodyPr/>
                  <a:lstStyle/>
                  <a:p>
                    <a:pPr>
                      <a:defRPr b="1"/>
                    </a:pPr>
                    <a:r>
                      <a:rPr lang="en-US" b="1" baseline="0"/>
                      <a:t>y = 0.2001x - 0.8605
R² = 0.767</a:t>
                    </a:r>
                  </a:p>
                  <a:p>
                    <a:pPr>
                      <a:defRPr b="1"/>
                    </a:pPr>
                    <a:r>
                      <a:rPr lang="en-US" b="1" baseline="0"/>
                      <a:t>pH</a:t>
                    </a:r>
                    <a:r>
                      <a:rPr lang="en-US" b="1" baseline="-25000"/>
                      <a:t>0</a:t>
                    </a:r>
                    <a:r>
                      <a:rPr lang="en-US" b="1" baseline="0"/>
                      <a:t> =  4.30</a:t>
                    </a:r>
                  </a:p>
                  <a:p>
                    <a:pPr>
                      <a:defRPr b="1"/>
                    </a:pPr>
                    <a:r>
                      <a:rPr lang="en-US" b="1" baseline="0">
                        <a:latin typeface="Calibri"/>
                        <a:cs typeface="Calibri"/>
                      </a:rPr>
                      <a:t>ΔpH = 0.67</a:t>
                    </a:r>
                    <a:endParaRPr lang="en-US" b="1"/>
                  </a:p>
                </c:rich>
              </c:tx>
              <c:numFmt formatCode="General" sourceLinked="0"/>
            </c:trendlineLbl>
          </c:trendline>
          <c:xVal>
            <c:numRef>
              <c:f>MTN!$U$3:$U$9</c:f>
              <c:numCache>
                <c:formatCode>General</c:formatCode>
                <c:ptCount val="7"/>
                <c:pt idx="0">
                  <c:v>4.3</c:v>
                </c:pt>
                <c:pt idx="1">
                  <c:v>3.5</c:v>
                </c:pt>
                <c:pt idx="2">
                  <c:v>3.1</c:v>
                </c:pt>
                <c:pt idx="3">
                  <c:v>5.7</c:v>
                </c:pt>
                <c:pt idx="4">
                  <c:v>6.7</c:v>
                </c:pt>
                <c:pt idx="5">
                  <c:v>7.3</c:v>
                </c:pt>
                <c:pt idx="6">
                  <c:v>8</c:v>
                </c:pt>
              </c:numCache>
            </c:numRef>
          </c:xVal>
          <c:yVal>
            <c:numRef>
              <c:f>MTN!$W$3:$W$9</c:f>
              <c:numCache>
                <c:formatCode>General</c:formatCode>
                <c:ptCount val="7"/>
                <c:pt idx="0">
                  <c:v>0</c:v>
                </c:pt>
                <c:pt idx="1">
                  <c:v>-0.20000000000000018</c:v>
                </c:pt>
                <c:pt idx="2">
                  <c:v>-0.39999999999999991</c:v>
                </c:pt>
                <c:pt idx="3">
                  <c:v>0.60000000000000053</c:v>
                </c:pt>
                <c:pt idx="4">
                  <c:v>0.60000000000000053</c:v>
                </c:pt>
                <c:pt idx="5">
                  <c:v>0.70000000000000018</c:v>
                </c:pt>
                <c:pt idx="6">
                  <c:v>0.40000000000000036</c:v>
                </c:pt>
              </c:numCache>
            </c:numRef>
          </c:yVal>
          <c:smooth val="0"/>
          <c:extLst>
            <c:ext xmlns:c16="http://schemas.microsoft.com/office/drawing/2014/chart" uri="{C3380CC4-5D6E-409C-BE32-E72D297353CC}">
              <c16:uniqueId val="{00000001-CC1D-4A59-B5E2-C20354B87C53}"/>
            </c:ext>
          </c:extLst>
        </c:ser>
        <c:dLbls>
          <c:showLegendKey val="0"/>
          <c:showVal val="0"/>
          <c:showCatName val="0"/>
          <c:showSerName val="0"/>
          <c:showPercent val="0"/>
          <c:showBubbleSize val="0"/>
        </c:dLbls>
        <c:axId val="266660096"/>
        <c:axId val="416915840"/>
      </c:scatterChart>
      <c:valAx>
        <c:axId val="266660096"/>
        <c:scaling>
          <c:orientation val="minMax"/>
        </c:scaling>
        <c:delete val="0"/>
        <c:axPos val="b"/>
        <c:title>
          <c:tx>
            <c:rich>
              <a:bodyPr/>
              <a:lstStyle/>
              <a:p>
                <a:pPr>
                  <a:defRPr b="0"/>
                </a:pPr>
                <a:r>
                  <a:rPr lang="en-US" b="0"/>
                  <a:t>pH</a:t>
                </a:r>
                <a:r>
                  <a:rPr lang="en-US" b="0" baseline="-25000"/>
                  <a:t>1</a:t>
                </a:r>
              </a:p>
            </c:rich>
          </c:tx>
          <c:overlay val="0"/>
        </c:title>
        <c:numFmt formatCode="General" sourceLinked="1"/>
        <c:majorTickMark val="out"/>
        <c:minorTickMark val="none"/>
        <c:tickLblPos val="nextTo"/>
        <c:crossAx val="416915840"/>
        <c:crosses val="autoZero"/>
        <c:crossBetween val="midCat"/>
      </c:valAx>
      <c:valAx>
        <c:axId val="416915840"/>
        <c:scaling>
          <c:orientation val="minMax"/>
          <c:max val="2"/>
          <c:min val="-1"/>
        </c:scaling>
        <c:delete val="0"/>
        <c:axPos val="l"/>
        <c:title>
          <c:tx>
            <c:rich>
              <a:bodyPr/>
              <a:lstStyle/>
              <a:p>
                <a:pPr>
                  <a:defRPr/>
                </a:pPr>
                <a:r>
                  <a:rPr lang="el-GR"/>
                  <a:t>Δ</a:t>
                </a:r>
                <a:r>
                  <a:rPr lang="en-US"/>
                  <a:t>pH</a:t>
                </a:r>
              </a:p>
            </c:rich>
          </c:tx>
          <c:overlay val="0"/>
        </c:title>
        <c:numFmt formatCode="General" sourceLinked="1"/>
        <c:majorTickMark val="out"/>
        <c:minorTickMark val="none"/>
        <c:tickLblPos val="nextTo"/>
        <c:spPr>
          <a:ln>
            <a:solidFill>
              <a:schemeClr val="tx1"/>
            </a:solidFill>
          </a:ln>
        </c:spPr>
        <c:crossAx val="266660096"/>
        <c:crosses val="autoZero"/>
        <c:crossBetween val="midCat"/>
      </c:valAx>
      <c:spPr>
        <a:solidFill>
          <a:schemeClr val="bg1">
            <a:lumMod val="95000"/>
          </a:schemeClr>
        </a:solidFill>
        <a:ln>
          <a:solidFill>
            <a:schemeClr val="tx1">
              <a:lumMod val="95000"/>
              <a:lumOff val="5000"/>
            </a:schemeClr>
          </a:solidFill>
        </a:ln>
      </c:spPr>
    </c:plotArea>
    <c:plotVisOnly val="1"/>
    <c:dispBlanksAs val="gap"/>
    <c:showDLblsOverMax val="0"/>
  </c:chart>
  <c:spPr>
    <a:ln>
      <a:noFill/>
    </a:ln>
  </c:spPr>
  <c:txPr>
    <a:bodyPr/>
    <a:lstStyle/>
    <a:p>
      <a:pPr>
        <a:defRPr sz="800">
          <a:latin typeface="+mn-lt"/>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MTN!$Z$149</c:f>
              <c:strCache>
                <c:ptCount val="1"/>
                <c:pt idx="0">
                  <c:v>ΔpH</c:v>
                </c:pt>
              </c:strCache>
            </c:strRef>
          </c:tx>
          <c:spPr>
            <a:ln w="19050">
              <a:noFill/>
            </a:ln>
          </c:spPr>
          <c:marker>
            <c:symbol val="square"/>
            <c:size val="5"/>
            <c:spPr>
              <a:solidFill>
                <a:schemeClr val="bg1">
                  <a:lumMod val="50000"/>
                </a:schemeClr>
              </a:solidFill>
              <a:ln>
                <a:noFill/>
              </a:ln>
            </c:spPr>
          </c:marker>
          <c:trendline>
            <c:spPr>
              <a:ln w="19050">
                <a:prstDash val="dash"/>
              </a:ln>
            </c:spPr>
            <c:trendlineType val="linear"/>
            <c:dispRSqr val="1"/>
            <c:dispEq val="1"/>
            <c:trendlineLbl>
              <c:layout>
                <c:manualLayout>
                  <c:x val="-0.16497731633829768"/>
                  <c:y val="-3.7477983364897903E-2"/>
                </c:manualLayout>
              </c:layout>
              <c:tx>
                <c:rich>
                  <a:bodyPr/>
                  <a:lstStyle/>
                  <a:p>
                    <a:pPr>
                      <a:defRPr b="1"/>
                    </a:pPr>
                    <a:r>
                      <a:rPr lang="en-US" b="1" baseline="0"/>
                      <a:t>y = 0.4035x - 1.9305
R² = 0.9625</a:t>
                    </a:r>
                  </a:p>
                  <a:p>
                    <a:pPr>
                      <a:defRPr b="1"/>
                    </a:pPr>
                    <a:r>
                      <a:rPr lang="en-US" b="1" baseline="0"/>
                      <a:t>pH</a:t>
                    </a:r>
                    <a:r>
                      <a:rPr lang="en-US" b="1" baseline="-25000"/>
                      <a:t>0</a:t>
                    </a:r>
                    <a:r>
                      <a:rPr lang="en-US" b="1" baseline="0"/>
                      <a:t> = 4.78</a:t>
                    </a:r>
                  </a:p>
                  <a:p>
                    <a:pPr>
                      <a:defRPr b="1"/>
                    </a:pPr>
                    <a:r>
                      <a:rPr lang="en-US" b="1" baseline="0">
                        <a:latin typeface="Calibri"/>
                        <a:cs typeface="Calibri"/>
                      </a:rPr>
                      <a:t>ΔpH = 0.82</a:t>
                    </a:r>
                    <a:endParaRPr lang="en-US" b="1"/>
                  </a:p>
                </c:rich>
              </c:tx>
              <c:numFmt formatCode="General" sourceLinked="0"/>
            </c:trendlineLbl>
          </c:trendline>
          <c:xVal>
            <c:numRef>
              <c:f>MTN!$X$150:$X$156</c:f>
              <c:numCache>
                <c:formatCode>General</c:formatCode>
                <c:ptCount val="7"/>
                <c:pt idx="0">
                  <c:v>4.3</c:v>
                </c:pt>
                <c:pt idx="1">
                  <c:v>3.5</c:v>
                </c:pt>
                <c:pt idx="2">
                  <c:v>3.2</c:v>
                </c:pt>
                <c:pt idx="3">
                  <c:v>5.5</c:v>
                </c:pt>
                <c:pt idx="4">
                  <c:v>6.3</c:v>
                </c:pt>
                <c:pt idx="5">
                  <c:v>6.9</c:v>
                </c:pt>
                <c:pt idx="6">
                  <c:v>8</c:v>
                </c:pt>
              </c:numCache>
            </c:numRef>
          </c:xVal>
          <c:yVal>
            <c:numRef>
              <c:f>MTN!$Z$150:$Z$156</c:f>
              <c:numCache>
                <c:formatCode>General</c:formatCode>
                <c:ptCount val="7"/>
                <c:pt idx="0">
                  <c:v>-0.20000000000000018</c:v>
                </c:pt>
                <c:pt idx="1">
                  <c:v>-0.5</c:v>
                </c:pt>
                <c:pt idx="2">
                  <c:v>-0.59999999999999964</c:v>
                </c:pt>
                <c:pt idx="3">
                  <c:v>0.40000000000000036</c:v>
                </c:pt>
                <c:pt idx="4">
                  <c:v>0.39999999999999947</c:v>
                </c:pt>
                <c:pt idx="5">
                  <c:v>0.70000000000000018</c:v>
                </c:pt>
                <c:pt idx="6">
                  <c:v>1.5</c:v>
                </c:pt>
              </c:numCache>
            </c:numRef>
          </c:yVal>
          <c:smooth val="0"/>
          <c:extLst>
            <c:ext xmlns:c16="http://schemas.microsoft.com/office/drawing/2014/chart" uri="{C3380CC4-5D6E-409C-BE32-E72D297353CC}">
              <c16:uniqueId val="{00000001-54EE-4306-93BB-9B28D5979BEC}"/>
            </c:ext>
          </c:extLst>
        </c:ser>
        <c:dLbls>
          <c:showLegendKey val="0"/>
          <c:showVal val="0"/>
          <c:showCatName val="0"/>
          <c:showSerName val="0"/>
          <c:showPercent val="0"/>
          <c:showBubbleSize val="0"/>
        </c:dLbls>
        <c:axId val="360854656"/>
        <c:axId val="360856576"/>
      </c:scatterChart>
      <c:valAx>
        <c:axId val="360854656"/>
        <c:scaling>
          <c:orientation val="minMax"/>
        </c:scaling>
        <c:delete val="0"/>
        <c:axPos val="b"/>
        <c:title>
          <c:tx>
            <c:rich>
              <a:bodyPr/>
              <a:lstStyle/>
              <a:p>
                <a:pPr>
                  <a:defRPr/>
                </a:pPr>
                <a:r>
                  <a:rPr lang="en-US"/>
                  <a:t>pH</a:t>
                </a:r>
                <a:r>
                  <a:rPr lang="en-US" baseline="-25000"/>
                  <a:t>1</a:t>
                </a:r>
              </a:p>
            </c:rich>
          </c:tx>
          <c:overlay val="0"/>
        </c:title>
        <c:numFmt formatCode="General" sourceLinked="1"/>
        <c:majorTickMark val="out"/>
        <c:minorTickMark val="none"/>
        <c:tickLblPos val="nextTo"/>
        <c:crossAx val="360856576"/>
        <c:crosses val="autoZero"/>
        <c:crossBetween val="midCat"/>
      </c:valAx>
      <c:valAx>
        <c:axId val="360856576"/>
        <c:scaling>
          <c:orientation val="minMax"/>
        </c:scaling>
        <c:delete val="0"/>
        <c:axPos val="l"/>
        <c:title>
          <c:tx>
            <c:rich>
              <a:bodyPr/>
              <a:lstStyle/>
              <a:p>
                <a:pPr>
                  <a:defRPr/>
                </a:pPr>
                <a:r>
                  <a:rPr lang="el-GR"/>
                  <a:t>Δ</a:t>
                </a:r>
                <a:r>
                  <a:rPr lang="en-US"/>
                  <a:t>pH</a:t>
                </a:r>
              </a:p>
            </c:rich>
          </c:tx>
          <c:overlay val="0"/>
        </c:title>
        <c:numFmt formatCode="General" sourceLinked="1"/>
        <c:majorTickMark val="out"/>
        <c:minorTickMark val="none"/>
        <c:tickLblPos val="nextTo"/>
        <c:spPr>
          <a:ln>
            <a:solidFill>
              <a:schemeClr val="tx1"/>
            </a:solidFill>
          </a:ln>
        </c:spPr>
        <c:crossAx val="360854656"/>
        <c:crosses val="autoZero"/>
        <c:crossBetween val="midCat"/>
      </c:valAx>
      <c:spPr>
        <a:solidFill>
          <a:schemeClr val="bg1">
            <a:lumMod val="95000"/>
          </a:schemeClr>
        </a:solidFill>
        <a:ln>
          <a:solidFill>
            <a:schemeClr val="tx1">
              <a:lumMod val="95000"/>
              <a:lumOff val="5000"/>
            </a:schemeClr>
          </a:solidFill>
        </a:ln>
      </c:spPr>
    </c:plotArea>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96605526350022"/>
          <c:y val="0.22541119860017497"/>
          <c:w val="0.63550423543995771"/>
          <c:h val="0.56649590737916655"/>
        </c:manualLayout>
      </c:layout>
      <c:lineChart>
        <c:grouping val="standard"/>
        <c:varyColors val="0"/>
        <c:ser>
          <c:idx val="2"/>
          <c:order val="0"/>
          <c:tx>
            <c:strRef>
              <c:f>Sheet4!$F$5</c:f>
              <c:strCache>
                <c:ptCount val="1"/>
                <c:pt idx="0">
                  <c:v>Ce - Ept</c:v>
                </c:pt>
              </c:strCache>
            </c:strRef>
          </c:tx>
          <c:spPr>
            <a:ln w="19050">
              <a:solidFill>
                <a:srgbClr val="FFC000"/>
              </a:solidFill>
            </a:ln>
          </c:spPr>
          <c:marker>
            <c:symbol val="none"/>
          </c:marker>
          <c:cat>
            <c:numRef>
              <c:f>Sheet4!$C$6:$C$11</c:f>
              <c:numCache>
                <c:formatCode>General</c:formatCode>
                <c:ptCount val="6"/>
                <c:pt idx="0">
                  <c:v>0</c:v>
                </c:pt>
                <c:pt idx="1">
                  <c:v>1</c:v>
                </c:pt>
                <c:pt idx="2">
                  <c:v>5</c:v>
                </c:pt>
                <c:pt idx="3">
                  <c:v>10</c:v>
                </c:pt>
                <c:pt idx="4">
                  <c:v>50</c:v>
                </c:pt>
                <c:pt idx="5">
                  <c:v>100</c:v>
                </c:pt>
              </c:numCache>
            </c:numRef>
          </c:cat>
          <c:val>
            <c:numRef>
              <c:f>Sheet4!$F$6:$F$11</c:f>
              <c:numCache>
                <c:formatCode>0,000</c:formatCode>
                <c:ptCount val="6"/>
                <c:pt idx="0" formatCode="General">
                  <c:v>0</c:v>
                </c:pt>
                <c:pt idx="1">
                  <c:v>0.84614035087719297</c:v>
                </c:pt>
                <c:pt idx="2">
                  <c:v>4.1508771929824597</c:v>
                </c:pt>
                <c:pt idx="3">
                  <c:v>5.7473684210526308</c:v>
                </c:pt>
                <c:pt idx="4">
                  <c:v>11.499090909090899</c:v>
                </c:pt>
                <c:pt idx="5">
                  <c:v>13.3190909090909</c:v>
                </c:pt>
              </c:numCache>
            </c:numRef>
          </c:val>
          <c:smooth val="0"/>
          <c:extLst>
            <c:ext xmlns:c16="http://schemas.microsoft.com/office/drawing/2014/chart" uri="{C3380CC4-5D6E-409C-BE32-E72D297353CC}">
              <c16:uniqueId val="{00000000-D426-41A4-B95E-9640DE77FEEA}"/>
            </c:ext>
          </c:extLst>
        </c:ser>
        <c:ser>
          <c:idx val="4"/>
          <c:order val="2"/>
          <c:tx>
            <c:strRef>
              <c:f>Sheet4!$H$5</c:f>
              <c:strCache>
                <c:ptCount val="1"/>
                <c:pt idx="0">
                  <c:v>Ce - HRB/Ept</c:v>
                </c:pt>
              </c:strCache>
            </c:strRef>
          </c:tx>
          <c:spPr>
            <a:ln w="19050">
              <a:solidFill>
                <a:schemeClr val="bg1">
                  <a:lumMod val="50000"/>
                </a:schemeClr>
              </a:solidFill>
            </a:ln>
          </c:spPr>
          <c:marker>
            <c:symbol val="none"/>
          </c:marker>
          <c:cat>
            <c:numRef>
              <c:f>Sheet4!$C$6:$C$11</c:f>
              <c:numCache>
                <c:formatCode>General</c:formatCode>
                <c:ptCount val="6"/>
                <c:pt idx="0">
                  <c:v>0</c:v>
                </c:pt>
                <c:pt idx="1">
                  <c:v>1</c:v>
                </c:pt>
                <c:pt idx="2">
                  <c:v>5</c:v>
                </c:pt>
                <c:pt idx="3">
                  <c:v>10</c:v>
                </c:pt>
                <c:pt idx="4">
                  <c:v>50</c:v>
                </c:pt>
                <c:pt idx="5">
                  <c:v>100</c:v>
                </c:pt>
              </c:numCache>
            </c:numRef>
          </c:cat>
          <c:val>
            <c:numRef>
              <c:f>Sheet4!$H$6:$H$11</c:f>
              <c:numCache>
                <c:formatCode>0,000</c:formatCode>
                <c:ptCount val="6"/>
                <c:pt idx="0" formatCode="General">
                  <c:v>0</c:v>
                </c:pt>
                <c:pt idx="1">
                  <c:v>0.81421052631578905</c:v>
                </c:pt>
                <c:pt idx="2">
                  <c:v>3.72272727272727</c:v>
                </c:pt>
                <c:pt idx="3">
                  <c:v>5.33590909090909</c:v>
                </c:pt>
                <c:pt idx="4">
                  <c:v>11.0854545454545</c:v>
                </c:pt>
                <c:pt idx="5">
                  <c:v>13.070909090909099</c:v>
                </c:pt>
              </c:numCache>
            </c:numRef>
          </c:val>
          <c:smooth val="0"/>
          <c:extLst>
            <c:ext xmlns:c16="http://schemas.microsoft.com/office/drawing/2014/chart" uri="{C3380CC4-5D6E-409C-BE32-E72D297353CC}">
              <c16:uniqueId val="{00000001-D426-41A4-B95E-9640DE77FEEA}"/>
            </c:ext>
          </c:extLst>
        </c:ser>
        <c:dLbls>
          <c:showLegendKey val="0"/>
          <c:showVal val="0"/>
          <c:showCatName val="0"/>
          <c:showSerName val="0"/>
          <c:showPercent val="0"/>
          <c:showBubbleSize val="0"/>
        </c:dLbls>
        <c:marker val="1"/>
        <c:smooth val="0"/>
        <c:axId val="360884480"/>
        <c:axId val="360894848"/>
      </c:lineChart>
      <c:lineChart>
        <c:grouping val="standard"/>
        <c:varyColors val="0"/>
        <c:ser>
          <c:idx val="3"/>
          <c:order val="1"/>
          <c:tx>
            <c:strRef>
              <c:f>Sheet4!$G$5</c:f>
              <c:strCache>
                <c:ptCount val="1"/>
                <c:pt idx="0">
                  <c:v>pH - Ept</c:v>
                </c:pt>
              </c:strCache>
            </c:strRef>
          </c:tx>
          <c:spPr>
            <a:ln w="19050">
              <a:solidFill>
                <a:srgbClr val="FFC000"/>
              </a:solidFill>
              <a:prstDash val="sysDash"/>
            </a:ln>
          </c:spPr>
          <c:marker>
            <c:symbol val="none"/>
          </c:marker>
          <c:cat>
            <c:numRef>
              <c:f>Sheet4!$C$6:$C$11</c:f>
              <c:numCache>
                <c:formatCode>General</c:formatCode>
                <c:ptCount val="6"/>
                <c:pt idx="0">
                  <c:v>0</c:v>
                </c:pt>
                <c:pt idx="1">
                  <c:v>1</c:v>
                </c:pt>
                <c:pt idx="2">
                  <c:v>5</c:v>
                </c:pt>
                <c:pt idx="3">
                  <c:v>10</c:v>
                </c:pt>
                <c:pt idx="4">
                  <c:v>50</c:v>
                </c:pt>
                <c:pt idx="5">
                  <c:v>100</c:v>
                </c:pt>
              </c:numCache>
            </c:numRef>
          </c:cat>
          <c:val>
            <c:numRef>
              <c:f>Sheet4!$G$6:$G$11</c:f>
              <c:numCache>
                <c:formatCode>General</c:formatCode>
                <c:ptCount val="6"/>
                <c:pt idx="0">
                  <c:v>7</c:v>
                </c:pt>
                <c:pt idx="1">
                  <c:v>5.5</c:v>
                </c:pt>
                <c:pt idx="2">
                  <c:v>5.5</c:v>
                </c:pt>
                <c:pt idx="3">
                  <c:v>5.4</c:v>
                </c:pt>
                <c:pt idx="4">
                  <c:v>5.4</c:v>
                </c:pt>
                <c:pt idx="5">
                  <c:v>5</c:v>
                </c:pt>
              </c:numCache>
            </c:numRef>
          </c:val>
          <c:smooth val="0"/>
          <c:extLst>
            <c:ext xmlns:c16="http://schemas.microsoft.com/office/drawing/2014/chart" uri="{C3380CC4-5D6E-409C-BE32-E72D297353CC}">
              <c16:uniqueId val="{00000002-D426-41A4-B95E-9640DE77FEEA}"/>
            </c:ext>
          </c:extLst>
        </c:ser>
        <c:ser>
          <c:idx val="5"/>
          <c:order val="3"/>
          <c:tx>
            <c:strRef>
              <c:f>Sheet4!$I$5</c:f>
              <c:strCache>
                <c:ptCount val="1"/>
                <c:pt idx="0">
                  <c:v>pH - HRB/Ept</c:v>
                </c:pt>
              </c:strCache>
            </c:strRef>
          </c:tx>
          <c:spPr>
            <a:ln w="19050">
              <a:solidFill>
                <a:schemeClr val="bg1">
                  <a:lumMod val="50000"/>
                </a:schemeClr>
              </a:solidFill>
              <a:prstDash val="sysDash"/>
            </a:ln>
          </c:spPr>
          <c:marker>
            <c:symbol val="none"/>
          </c:marker>
          <c:cat>
            <c:numRef>
              <c:f>Sheet4!$C$6:$C$11</c:f>
              <c:numCache>
                <c:formatCode>General</c:formatCode>
                <c:ptCount val="6"/>
                <c:pt idx="0">
                  <c:v>0</c:v>
                </c:pt>
                <c:pt idx="1">
                  <c:v>1</c:v>
                </c:pt>
                <c:pt idx="2">
                  <c:v>5</c:v>
                </c:pt>
                <c:pt idx="3">
                  <c:v>10</c:v>
                </c:pt>
                <c:pt idx="4">
                  <c:v>50</c:v>
                </c:pt>
                <c:pt idx="5">
                  <c:v>100</c:v>
                </c:pt>
              </c:numCache>
            </c:numRef>
          </c:cat>
          <c:val>
            <c:numRef>
              <c:f>Sheet4!$I$6:$I$11</c:f>
              <c:numCache>
                <c:formatCode>General</c:formatCode>
                <c:ptCount val="6"/>
                <c:pt idx="0">
                  <c:v>7</c:v>
                </c:pt>
                <c:pt idx="1">
                  <c:v>5.5</c:v>
                </c:pt>
                <c:pt idx="2">
                  <c:v>5.4</c:v>
                </c:pt>
                <c:pt idx="3">
                  <c:v>5.4</c:v>
                </c:pt>
                <c:pt idx="4">
                  <c:v>5.4</c:v>
                </c:pt>
                <c:pt idx="5">
                  <c:v>5.2</c:v>
                </c:pt>
              </c:numCache>
            </c:numRef>
          </c:val>
          <c:smooth val="0"/>
          <c:extLst>
            <c:ext xmlns:c16="http://schemas.microsoft.com/office/drawing/2014/chart" uri="{C3380CC4-5D6E-409C-BE32-E72D297353CC}">
              <c16:uniqueId val="{00000003-D426-41A4-B95E-9640DE77FEEA}"/>
            </c:ext>
          </c:extLst>
        </c:ser>
        <c:dLbls>
          <c:showLegendKey val="0"/>
          <c:showVal val="0"/>
          <c:showCatName val="0"/>
          <c:showSerName val="0"/>
          <c:showPercent val="0"/>
          <c:showBubbleSize val="0"/>
        </c:dLbls>
        <c:marker val="1"/>
        <c:smooth val="0"/>
        <c:axId val="364450176"/>
        <c:axId val="360896768"/>
      </c:lineChart>
      <c:catAx>
        <c:axId val="360884480"/>
        <c:scaling>
          <c:orientation val="minMax"/>
        </c:scaling>
        <c:delete val="0"/>
        <c:axPos val="b"/>
        <c:title>
          <c:tx>
            <c:rich>
              <a:bodyPr/>
              <a:lstStyle/>
              <a:p>
                <a:pPr>
                  <a:defRPr/>
                </a:pPr>
                <a:r>
                  <a:rPr lang="en-US"/>
                  <a:t>Glyphosate - C</a:t>
                </a:r>
                <a:r>
                  <a:rPr lang="en-US" baseline="-25000"/>
                  <a:t>o</a:t>
                </a:r>
                <a:r>
                  <a:rPr lang="en-US"/>
                  <a:t> (mg L</a:t>
                </a:r>
                <a:r>
                  <a:rPr lang="en-US" baseline="30000"/>
                  <a:t>-1</a:t>
                </a:r>
                <a:r>
                  <a:rPr lang="en-US"/>
                  <a:t>)</a:t>
                </a:r>
              </a:p>
            </c:rich>
          </c:tx>
          <c:overlay val="0"/>
        </c:title>
        <c:numFmt formatCode="General" sourceLinked="1"/>
        <c:majorTickMark val="out"/>
        <c:minorTickMark val="none"/>
        <c:tickLblPos val="nextTo"/>
        <c:spPr>
          <a:ln>
            <a:solidFill>
              <a:schemeClr val="tx1"/>
            </a:solidFill>
          </a:ln>
        </c:spPr>
        <c:crossAx val="360894848"/>
        <c:crosses val="autoZero"/>
        <c:auto val="1"/>
        <c:lblAlgn val="ctr"/>
        <c:lblOffset val="100"/>
        <c:noMultiLvlLbl val="0"/>
      </c:catAx>
      <c:valAx>
        <c:axId val="360894848"/>
        <c:scaling>
          <c:orientation val="minMax"/>
          <c:max val="20"/>
        </c:scaling>
        <c:delete val="0"/>
        <c:axPos val="l"/>
        <c:title>
          <c:tx>
            <c:rich>
              <a:bodyPr rot="-5400000" vert="horz"/>
              <a:lstStyle/>
              <a:p>
                <a:pPr>
                  <a:defRPr/>
                </a:pPr>
                <a:r>
                  <a:rPr lang="en-US"/>
                  <a:t>C</a:t>
                </a:r>
                <a:r>
                  <a:rPr lang="en-US" baseline="-25000"/>
                  <a:t>e</a:t>
                </a:r>
              </a:p>
            </c:rich>
          </c:tx>
          <c:overlay val="0"/>
        </c:title>
        <c:numFmt formatCode="General" sourceLinked="0"/>
        <c:majorTickMark val="out"/>
        <c:minorTickMark val="none"/>
        <c:tickLblPos val="nextTo"/>
        <c:spPr>
          <a:ln>
            <a:solidFill>
              <a:schemeClr val="tx1"/>
            </a:solidFill>
          </a:ln>
        </c:spPr>
        <c:crossAx val="360884480"/>
        <c:crosses val="autoZero"/>
        <c:crossBetween val="between"/>
        <c:majorUnit val="5"/>
      </c:valAx>
      <c:valAx>
        <c:axId val="360896768"/>
        <c:scaling>
          <c:orientation val="minMax"/>
          <c:max val="8"/>
          <c:min val="4"/>
        </c:scaling>
        <c:delete val="0"/>
        <c:axPos val="r"/>
        <c:title>
          <c:tx>
            <c:rich>
              <a:bodyPr rot="-5400000" vert="horz"/>
              <a:lstStyle/>
              <a:p>
                <a:pPr>
                  <a:defRPr/>
                </a:pPr>
                <a:r>
                  <a:rPr lang="en-US"/>
                  <a:t>pH</a:t>
                </a:r>
              </a:p>
            </c:rich>
          </c:tx>
          <c:overlay val="0"/>
        </c:title>
        <c:numFmt formatCode="General" sourceLinked="1"/>
        <c:majorTickMark val="out"/>
        <c:minorTickMark val="none"/>
        <c:tickLblPos val="nextTo"/>
        <c:spPr>
          <a:ln>
            <a:solidFill>
              <a:schemeClr val="tx1"/>
            </a:solidFill>
          </a:ln>
        </c:spPr>
        <c:crossAx val="364450176"/>
        <c:crosses val="max"/>
        <c:crossBetween val="between"/>
        <c:majorUnit val="1"/>
      </c:valAx>
      <c:catAx>
        <c:axId val="364450176"/>
        <c:scaling>
          <c:orientation val="minMax"/>
        </c:scaling>
        <c:delete val="1"/>
        <c:axPos val="b"/>
        <c:numFmt formatCode="General" sourceLinked="1"/>
        <c:majorTickMark val="out"/>
        <c:minorTickMark val="none"/>
        <c:tickLblPos val="nextTo"/>
        <c:crossAx val="360896768"/>
        <c:crosses val="autoZero"/>
        <c:auto val="1"/>
        <c:lblAlgn val="ctr"/>
        <c:lblOffset val="100"/>
        <c:noMultiLvlLbl val="0"/>
      </c:catAx>
      <c:spPr>
        <a:solidFill>
          <a:schemeClr val="bg1">
            <a:lumMod val="95000"/>
          </a:schemeClr>
        </a:solidFill>
        <a:ln>
          <a:solidFill>
            <a:schemeClr val="tx1"/>
          </a:solidFill>
        </a:ln>
      </c:spPr>
    </c:plotArea>
    <c:legend>
      <c:legendPos val="t"/>
      <c:overlay val="0"/>
    </c:legend>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624463032086388"/>
          <c:y val="0.22047244094488189"/>
          <c:w val="0.57683023186115578"/>
          <c:h val="0.56816117352919815"/>
        </c:manualLayout>
      </c:layout>
      <c:lineChart>
        <c:grouping val="standard"/>
        <c:varyColors val="0"/>
        <c:ser>
          <c:idx val="2"/>
          <c:order val="0"/>
          <c:tx>
            <c:strRef>
              <c:f>Sheet4!$F$15</c:f>
              <c:strCache>
                <c:ptCount val="1"/>
                <c:pt idx="0">
                  <c:v>Qe - Ept</c:v>
                </c:pt>
              </c:strCache>
            </c:strRef>
          </c:tx>
          <c:spPr>
            <a:ln w="12700">
              <a:solidFill>
                <a:srgbClr val="FFC000"/>
              </a:solidFill>
            </a:ln>
          </c:spPr>
          <c:marker>
            <c:symbol val="none"/>
          </c:marker>
          <c:cat>
            <c:numRef>
              <c:f>Sheet4!$C$16:$C$21</c:f>
              <c:numCache>
                <c:formatCode>General</c:formatCode>
                <c:ptCount val="6"/>
                <c:pt idx="0">
                  <c:v>0</c:v>
                </c:pt>
                <c:pt idx="1">
                  <c:v>1</c:v>
                </c:pt>
                <c:pt idx="2">
                  <c:v>5</c:v>
                </c:pt>
                <c:pt idx="3">
                  <c:v>10</c:v>
                </c:pt>
                <c:pt idx="4">
                  <c:v>50</c:v>
                </c:pt>
                <c:pt idx="5">
                  <c:v>100</c:v>
                </c:pt>
              </c:numCache>
            </c:numRef>
          </c:cat>
          <c:val>
            <c:numRef>
              <c:f>Sheet4!$F$16:$F$21</c:f>
              <c:numCache>
                <c:formatCode>0,000</c:formatCode>
                <c:ptCount val="6"/>
                <c:pt idx="0">
                  <c:v>0</c:v>
                </c:pt>
                <c:pt idx="1">
                  <c:v>1.5385964912280703E-3</c:v>
                </c:pt>
                <c:pt idx="2">
                  <c:v>8.4912280701754037E-3</c:v>
                </c:pt>
                <c:pt idx="3">
                  <c:v>4.252631578947369E-2</c:v>
                </c:pt>
                <c:pt idx="4">
                  <c:v>0.38500909090909108</c:v>
                </c:pt>
                <c:pt idx="5">
                  <c:v>0.86680909090909097</c:v>
                </c:pt>
              </c:numCache>
            </c:numRef>
          </c:val>
          <c:smooth val="0"/>
          <c:extLst>
            <c:ext xmlns:c16="http://schemas.microsoft.com/office/drawing/2014/chart" uri="{C3380CC4-5D6E-409C-BE32-E72D297353CC}">
              <c16:uniqueId val="{00000000-490D-44AA-A835-1D4EE5AA58D3}"/>
            </c:ext>
          </c:extLst>
        </c:ser>
        <c:ser>
          <c:idx val="4"/>
          <c:order val="2"/>
          <c:tx>
            <c:strRef>
              <c:f>Sheet4!$H$15</c:f>
              <c:strCache>
                <c:ptCount val="1"/>
                <c:pt idx="0">
                  <c:v>Qe - HRB/Ept</c:v>
                </c:pt>
              </c:strCache>
            </c:strRef>
          </c:tx>
          <c:spPr>
            <a:ln w="19050">
              <a:solidFill>
                <a:schemeClr val="bg1">
                  <a:lumMod val="50000"/>
                </a:schemeClr>
              </a:solidFill>
            </a:ln>
          </c:spPr>
          <c:marker>
            <c:symbol val="none"/>
          </c:marker>
          <c:cat>
            <c:numRef>
              <c:f>Sheet4!$C$16:$C$21</c:f>
              <c:numCache>
                <c:formatCode>General</c:formatCode>
                <c:ptCount val="6"/>
                <c:pt idx="0">
                  <c:v>0</c:v>
                </c:pt>
                <c:pt idx="1">
                  <c:v>1</c:v>
                </c:pt>
                <c:pt idx="2">
                  <c:v>5</c:v>
                </c:pt>
                <c:pt idx="3">
                  <c:v>10</c:v>
                </c:pt>
                <c:pt idx="4">
                  <c:v>50</c:v>
                </c:pt>
                <c:pt idx="5">
                  <c:v>100</c:v>
                </c:pt>
              </c:numCache>
            </c:numRef>
          </c:cat>
          <c:val>
            <c:numRef>
              <c:f>Sheet4!$H$16:$H$21</c:f>
              <c:numCache>
                <c:formatCode>0,000</c:formatCode>
                <c:ptCount val="6"/>
                <c:pt idx="0">
                  <c:v>0</c:v>
                </c:pt>
                <c:pt idx="1">
                  <c:v>1.8578947368421096E-3</c:v>
                </c:pt>
                <c:pt idx="2">
                  <c:v>1.27727272727273E-2</c:v>
                </c:pt>
                <c:pt idx="3">
                  <c:v>4.6640909090909101E-2</c:v>
                </c:pt>
                <c:pt idx="4">
                  <c:v>0.38914545454545507</c:v>
                </c:pt>
                <c:pt idx="5">
                  <c:v>0.869290909090909</c:v>
                </c:pt>
              </c:numCache>
            </c:numRef>
          </c:val>
          <c:smooth val="0"/>
          <c:extLst>
            <c:ext xmlns:c16="http://schemas.microsoft.com/office/drawing/2014/chart" uri="{C3380CC4-5D6E-409C-BE32-E72D297353CC}">
              <c16:uniqueId val="{00000001-490D-44AA-A835-1D4EE5AA58D3}"/>
            </c:ext>
          </c:extLst>
        </c:ser>
        <c:dLbls>
          <c:showLegendKey val="0"/>
          <c:showVal val="0"/>
          <c:showCatName val="0"/>
          <c:showSerName val="0"/>
          <c:showPercent val="0"/>
          <c:showBubbleSize val="0"/>
        </c:dLbls>
        <c:marker val="1"/>
        <c:smooth val="0"/>
        <c:axId val="364481920"/>
        <c:axId val="364496384"/>
      </c:lineChart>
      <c:lineChart>
        <c:grouping val="standard"/>
        <c:varyColors val="0"/>
        <c:ser>
          <c:idx val="3"/>
          <c:order val="1"/>
          <c:tx>
            <c:strRef>
              <c:f>Sheet4!$G$15</c:f>
              <c:strCache>
                <c:ptCount val="1"/>
                <c:pt idx="0">
                  <c:v>R - Ept</c:v>
                </c:pt>
              </c:strCache>
            </c:strRef>
          </c:tx>
          <c:spPr>
            <a:ln w="19050">
              <a:solidFill>
                <a:srgbClr val="FFC000"/>
              </a:solidFill>
              <a:prstDash val="sysDash"/>
            </a:ln>
          </c:spPr>
          <c:marker>
            <c:symbol val="none"/>
          </c:marker>
          <c:cat>
            <c:numRef>
              <c:f>Sheet4!$C$16:$C$21</c:f>
              <c:numCache>
                <c:formatCode>General</c:formatCode>
                <c:ptCount val="6"/>
                <c:pt idx="0">
                  <c:v>0</c:v>
                </c:pt>
                <c:pt idx="1">
                  <c:v>1</c:v>
                </c:pt>
                <c:pt idx="2">
                  <c:v>5</c:v>
                </c:pt>
                <c:pt idx="3">
                  <c:v>10</c:v>
                </c:pt>
                <c:pt idx="4">
                  <c:v>50</c:v>
                </c:pt>
                <c:pt idx="5">
                  <c:v>100</c:v>
                </c:pt>
              </c:numCache>
            </c:numRef>
          </c:cat>
          <c:val>
            <c:numRef>
              <c:f>Sheet4!$G$16:$G$21</c:f>
              <c:numCache>
                <c:formatCode>0.00</c:formatCode>
                <c:ptCount val="6"/>
                <c:pt idx="0" formatCode="0,000">
                  <c:v>0</c:v>
                </c:pt>
                <c:pt idx="1">
                  <c:v>15.385964912280702</c:v>
                </c:pt>
                <c:pt idx="2">
                  <c:v>16.982456140350806</c:v>
                </c:pt>
                <c:pt idx="3">
                  <c:v>42.526315789473692</c:v>
                </c:pt>
                <c:pt idx="4">
                  <c:v>77.001818181818209</c:v>
                </c:pt>
                <c:pt idx="5">
                  <c:v>86.680909090909097</c:v>
                </c:pt>
              </c:numCache>
            </c:numRef>
          </c:val>
          <c:smooth val="0"/>
          <c:extLst>
            <c:ext xmlns:c16="http://schemas.microsoft.com/office/drawing/2014/chart" uri="{C3380CC4-5D6E-409C-BE32-E72D297353CC}">
              <c16:uniqueId val="{00000002-490D-44AA-A835-1D4EE5AA58D3}"/>
            </c:ext>
          </c:extLst>
        </c:ser>
        <c:ser>
          <c:idx val="5"/>
          <c:order val="3"/>
          <c:tx>
            <c:strRef>
              <c:f>Sheet4!$I$15</c:f>
              <c:strCache>
                <c:ptCount val="1"/>
                <c:pt idx="0">
                  <c:v>R - HRB/Ept</c:v>
                </c:pt>
              </c:strCache>
            </c:strRef>
          </c:tx>
          <c:spPr>
            <a:ln w="19050">
              <a:solidFill>
                <a:schemeClr val="bg1">
                  <a:lumMod val="50000"/>
                </a:schemeClr>
              </a:solidFill>
              <a:prstDash val="sysDash"/>
            </a:ln>
          </c:spPr>
          <c:marker>
            <c:symbol val="none"/>
          </c:marker>
          <c:cat>
            <c:numRef>
              <c:f>Sheet4!$C$16:$C$21</c:f>
              <c:numCache>
                <c:formatCode>General</c:formatCode>
                <c:ptCount val="6"/>
                <c:pt idx="0">
                  <c:v>0</c:v>
                </c:pt>
                <c:pt idx="1">
                  <c:v>1</c:v>
                </c:pt>
                <c:pt idx="2">
                  <c:v>5</c:v>
                </c:pt>
                <c:pt idx="3">
                  <c:v>10</c:v>
                </c:pt>
                <c:pt idx="4">
                  <c:v>50</c:v>
                </c:pt>
                <c:pt idx="5">
                  <c:v>100</c:v>
                </c:pt>
              </c:numCache>
            </c:numRef>
          </c:cat>
          <c:val>
            <c:numRef>
              <c:f>Sheet4!$I$16:$I$21</c:f>
              <c:numCache>
                <c:formatCode>0.00</c:formatCode>
                <c:ptCount val="6"/>
                <c:pt idx="0" formatCode="0,000">
                  <c:v>0</c:v>
                </c:pt>
                <c:pt idx="1">
                  <c:v>18.578947368421094</c:v>
                </c:pt>
                <c:pt idx="2">
                  <c:v>25.5454545454546</c:v>
                </c:pt>
                <c:pt idx="3">
                  <c:v>46.640909090909098</c:v>
                </c:pt>
                <c:pt idx="4">
                  <c:v>77.829090909091008</c:v>
                </c:pt>
                <c:pt idx="5">
                  <c:v>86.929090909090903</c:v>
                </c:pt>
              </c:numCache>
            </c:numRef>
          </c:val>
          <c:smooth val="0"/>
          <c:extLst>
            <c:ext xmlns:c16="http://schemas.microsoft.com/office/drawing/2014/chart" uri="{C3380CC4-5D6E-409C-BE32-E72D297353CC}">
              <c16:uniqueId val="{00000003-490D-44AA-A835-1D4EE5AA58D3}"/>
            </c:ext>
          </c:extLst>
        </c:ser>
        <c:dLbls>
          <c:showLegendKey val="0"/>
          <c:showVal val="0"/>
          <c:showCatName val="0"/>
          <c:showSerName val="0"/>
          <c:showPercent val="0"/>
          <c:showBubbleSize val="0"/>
        </c:dLbls>
        <c:marker val="1"/>
        <c:smooth val="0"/>
        <c:axId val="364500480"/>
        <c:axId val="364498304"/>
      </c:lineChart>
      <c:catAx>
        <c:axId val="364481920"/>
        <c:scaling>
          <c:orientation val="minMax"/>
        </c:scaling>
        <c:delete val="0"/>
        <c:axPos val="b"/>
        <c:title>
          <c:tx>
            <c:rich>
              <a:bodyPr/>
              <a:lstStyle/>
              <a:p>
                <a:pPr>
                  <a:defRPr/>
                </a:pPr>
                <a:r>
                  <a:rPr lang="en-US"/>
                  <a:t>Glyphosate - C</a:t>
                </a:r>
                <a:r>
                  <a:rPr lang="en-US" baseline="-25000"/>
                  <a:t>o</a:t>
                </a:r>
                <a:r>
                  <a:rPr lang="en-US"/>
                  <a:t> (mg L</a:t>
                </a:r>
                <a:r>
                  <a:rPr lang="en-US" baseline="30000"/>
                  <a:t>-1</a:t>
                </a:r>
                <a:r>
                  <a:rPr lang="en-US"/>
                  <a:t>)</a:t>
                </a:r>
              </a:p>
            </c:rich>
          </c:tx>
          <c:overlay val="0"/>
        </c:title>
        <c:numFmt formatCode="General" sourceLinked="1"/>
        <c:majorTickMark val="out"/>
        <c:minorTickMark val="none"/>
        <c:tickLblPos val="nextTo"/>
        <c:spPr>
          <a:ln>
            <a:solidFill>
              <a:schemeClr val="tx1"/>
            </a:solidFill>
          </a:ln>
        </c:spPr>
        <c:crossAx val="364496384"/>
        <c:crosses val="autoZero"/>
        <c:auto val="1"/>
        <c:lblAlgn val="ctr"/>
        <c:lblOffset val="100"/>
        <c:noMultiLvlLbl val="0"/>
      </c:catAx>
      <c:valAx>
        <c:axId val="364496384"/>
        <c:scaling>
          <c:orientation val="minMax"/>
          <c:max val="1"/>
        </c:scaling>
        <c:delete val="0"/>
        <c:axPos val="l"/>
        <c:title>
          <c:tx>
            <c:rich>
              <a:bodyPr rot="-5400000" vert="horz"/>
              <a:lstStyle/>
              <a:p>
                <a:pPr>
                  <a:defRPr/>
                </a:pPr>
                <a:r>
                  <a:rPr lang="en-US"/>
                  <a:t>Q</a:t>
                </a:r>
                <a:r>
                  <a:rPr lang="en-US" baseline="-25000"/>
                  <a:t>e</a:t>
                </a:r>
                <a:r>
                  <a:rPr lang="en-US"/>
                  <a:t> (mg g</a:t>
                </a:r>
                <a:r>
                  <a:rPr lang="en-US" baseline="30000"/>
                  <a:t>-1</a:t>
                </a:r>
                <a:r>
                  <a:rPr lang="en-US"/>
                  <a:t>)</a:t>
                </a:r>
              </a:p>
            </c:rich>
          </c:tx>
          <c:overlay val="0"/>
        </c:title>
        <c:numFmt formatCode="General" sourceLinked="0"/>
        <c:majorTickMark val="out"/>
        <c:minorTickMark val="none"/>
        <c:tickLblPos val="nextTo"/>
        <c:spPr>
          <a:ln>
            <a:solidFill>
              <a:schemeClr val="tx1"/>
            </a:solidFill>
          </a:ln>
        </c:spPr>
        <c:crossAx val="364481920"/>
        <c:crosses val="autoZero"/>
        <c:crossBetween val="between"/>
        <c:majorUnit val="0.25"/>
      </c:valAx>
      <c:valAx>
        <c:axId val="364498304"/>
        <c:scaling>
          <c:orientation val="minMax"/>
          <c:max val="100"/>
        </c:scaling>
        <c:delete val="0"/>
        <c:axPos val="r"/>
        <c:title>
          <c:tx>
            <c:rich>
              <a:bodyPr rot="-5400000" vert="horz"/>
              <a:lstStyle/>
              <a:p>
                <a:pPr>
                  <a:defRPr/>
                </a:pPr>
                <a:r>
                  <a:rPr lang="en-US"/>
                  <a:t>R (%)</a:t>
                </a:r>
              </a:p>
            </c:rich>
          </c:tx>
          <c:overlay val="0"/>
        </c:title>
        <c:numFmt formatCode="General" sourceLinked="0"/>
        <c:majorTickMark val="out"/>
        <c:minorTickMark val="none"/>
        <c:tickLblPos val="nextTo"/>
        <c:spPr>
          <a:ln>
            <a:solidFill>
              <a:schemeClr val="tx1"/>
            </a:solidFill>
          </a:ln>
        </c:spPr>
        <c:crossAx val="364500480"/>
        <c:crosses val="max"/>
        <c:crossBetween val="between"/>
        <c:majorUnit val="25"/>
      </c:valAx>
      <c:catAx>
        <c:axId val="364500480"/>
        <c:scaling>
          <c:orientation val="minMax"/>
        </c:scaling>
        <c:delete val="1"/>
        <c:axPos val="b"/>
        <c:numFmt formatCode="General" sourceLinked="1"/>
        <c:majorTickMark val="out"/>
        <c:minorTickMark val="none"/>
        <c:tickLblPos val="nextTo"/>
        <c:crossAx val="364498304"/>
        <c:crosses val="autoZero"/>
        <c:auto val="1"/>
        <c:lblAlgn val="ctr"/>
        <c:lblOffset val="100"/>
        <c:noMultiLvlLbl val="0"/>
      </c:catAx>
      <c:spPr>
        <a:solidFill>
          <a:schemeClr val="bg1">
            <a:lumMod val="95000"/>
          </a:schemeClr>
        </a:solidFill>
        <a:ln>
          <a:solidFill>
            <a:schemeClr val="tx1"/>
          </a:solidFill>
        </a:ln>
      </c:spPr>
    </c:plotArea>
    <c:legend>
      <c:legendPos val="t"/>
      <c:overlay val="0"/>
    </c:legend>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Sheet4!$F$24</c:f>
              <c:strCache>
                <c:ptCount val="1"/>
                <c:pt idx="0">
                  <c:v>Inc</c:v>
                </c:pt>
              </c:strCache>
            </c:strRef>
          </c:tx>
          <c:spPr>
            <a:ln w="19050">
              <a:noFill/>
            </a:ln>
          </c:spPr>
          <c:marker>
            <c:symbol val="circle"/>
            <c:size val="5"/>
            <c:spPr>
              <a:solidFill>
                <a:srgbClr val="FFC000"/>
              </a:solidFill>
              <a:ln>
                <a:noFill/>
              </a:ln>
            </c:spPr>
          </c:marker>
          <c:trendline>
            <c:spPr>
              <a:ln w="12700">
                <a:solidFill>
                  <a:schemeClr val="tx1"/>
                </a:solidFill>
                <a:prstDash val="dash"/>
              </a:ln>
            </c:spPr>
            <c:trendlineType val="linear"/>
            <c:dispRSqr val="1"/>
            <c:dispEq val="1"/>
            <c:trendlineLbl>
              <c:layout>
                <c:manualLayout>
                  <c:x val="-7.3648677127037959E-2"/>
                  <c:y val="-0.16705989876265467"/>
                </c:manualLayout>
              </c:layout>
              <c:numFmt formatCode="General" sourceLinked="0"/>
              <c:txPr>
                <a:bodyPr/>
                <a:lstStyle/>
                <a:p>
                  <a:pPr>
                    <a:defRPr b="1"/>
                  </a:pPr>
                  <a:endParaRPr lang="en-US"/>
                </a:p>
              </c:txPr>
            </c:trendlineLbl>
          </c:trendline>
          <c:xVal>
            <c:numRef>
              <c:f>Sheet4!$E$25:$E$30</c:f>
              <c:numCache>
                <c:formatCode>0,000</c:formatCode>
                <c:ptCount val="6"/>
                <c:pt idx="0" formatCode="General">
                  <c:v>0</c:v>
                </c:pt>
                <c:pt idx="1">
                  <c:v>0.84614035087719297</c:v>
                </c:pt>
                <c:pt idx="2">
                  <c:v>4.1508771929824597</c:v>
                </c:pt>
                <c:pt idx="3">
                  <c:v>5.7473684210526308</c:v>
                </c:pt>
                <c:pt idx="4">
                  <c:v>11.499090909090899</c:v>
                </c:pt>
                <c:pt idx="5">
                  <c:v>13.3190909090909</c:v>
                </c:pt>
              </c:numCache>
            </c:numRef>
          </c:xVal>
          <c:yVal>
            <c:numRef>
              <c:f>Sheet4!$F$25:$F$30</c:f>
              <c:numCache>
                <c:formatCode>0,000</c:formatCode>
                <c:ptCount val="6"/>
                <c:pt idx="0">
                  <c:v>0</c:v>
                </c:pt>
                <c:pt idx="1">
                  <c:v>1.5385964912280703E-3</c:v>
                </c:pt>
                <c:pt idx="2">
                  <c:v>8.4912280701754037E-3</c:v>
                </c:pt>
                <c:pt idx="3">
                  <c:v>4.252631578947369E-2</c:v>
                </c:pt>
                <c:pt idx="4">
                  <c:v>0.38500909090909108</c:v>
                </c:pt>
                <c:pt idx="5">
                  <c:v>0.86680909090909097</c:v>
                </c:pt>
              </c:numCache>
            </c:numRef>
          </c:yVal>
          <c:smooth val="0"/>
          <c:extLst>
            <c:ext xmlns:c16="http://schemas.microsoft.com/office/drawing/2014/chart" uri="{C3380CC4-5D6E-409C-BE32-E72D297353CC}">
              <c16:uniqueId val="{00000001-C296-4873-B526-295F0C7FBEAE}"/>
            </c:ext>
          </c:extLst>
        </c:ser>
        <c:dLbls>
          <c:showLegendKey val="0"/>
          <c:showVal val="0"/>
          <c:showCatName val="0"/>
          <c:showSerName val="0"/>
          <c:showPercent val="0"/>
          <c:showBubbleSize val="0"/>
        </c:dLbls>
        <c:axId val="373098752"/>
        <c:axId val="373117312"/>
      </c:scatterChart>
      <c:valAx>
        <c:axId val="373098752"/>
        <c:scaling>
          <c:orientation val="minMax"/>
          <c:max val="20"/>
        </c:scaling>
        <c:delete val="0"/>
        <c:axPos val="b"/>
        <c:title>
          <c:tx>
            <c:rich>
              <a:bodyPr/>
              <a:lstStyle/>
              <a:p>
                <a:pPr>
                  <a:defRPr/>
                </a:pPr>
                <a:r>
                  <a:rPr lang="en-US"/>
                  <a:t>C</a:t>
                </a:r>
                <a:r>
                  <a:rPr lang="en-US" baseline="-25000"/>
                  <a:t>e</a:t>
                </a:r>
              </a:p>
            </c:rich>
          </c:tx>
          <c:overlay val="0"/>
        </c:title>
        <c:numFmt formatCode="General" sourceLinked="1"/>
        <c:majorTickMark val="out"/>
        <c:minorTickMark val="none"/>
        <c:tickLblPos val="nextTo"/>
        <c:spPr>
          <a:ln>
            <a:solidFill>
              <a:schemeClr val="tx1"/>
            </a:solidFill>
          </a:ln>
        </c:spPr>
        <c:crossAx val="373117312"/>
        <c:crosses val="autoZero"/>
        <c:crossBetween val="midCat"/>
      </c:valAx>
      <c:valAx>
        <c:axId val="373117312"/>
        <c:scaling>
          <c:orientation val="minMax"/>
          <c:max val="1"/>
          <c:min val="0"/>
        </c:scaling>
        <c:delete val="0"/>
        <c:axPos val="l"/>
        <c:title>
          <c:tx>
            <c:rich>
              <a:bodyPr/>
              <a:lstStyle/>
              <a:p>
                <a:pPr>
                  <a:defRPr/>
                </a:pPr>
                <a:r>
                  <a:rPr lang="en-US"/>
                  <a:t>Q</a:t>
                </a:r>
                <a:r>
                  <a:rPr lang="en-US" baseline="-25000"/>
                  <a:t>e</a:t>
                </a:r>
                <a:r>
                  <a:rPr lang="en-US"/>
                  <a:t> (mg g</a:t>
                </a:r>
                <a:r>
                  <a:rPr lang="en-US" baseline="30000"/>
                  <a:t>-1</a:t>
                </a:r>
                <a:r>
                  <a:rPr lang="en-US"/>
                  <a:t>)</a:t>
                </a:r>
              </a:p>
            </c:rich>
          </c:tx>
          <c:overlay val="0"/>
        </c:title>
        <c:numFmt formatCode="General" sourceLinked="0"/>
        <c:majorTickMark val="out"/>
        <c:minorTickMark val="none"/>
        <c:tickLblPos val="nextTo"/>
        <c:spPr>
          <a:ln>
            <a:solidFill>
              <a:schemeClr val="tx1"/>
            </a:solidFill>
          </a:ln>
        </c:spPr>
        <c:crossAx val="373098752"/>
        <c:crosses val="autoZero"/>
        <c:crossBetween val="midCat"/>
        <c:majorUnit val="0.25"/>
      </c:valAx>
      <c:spPr>
        <a:solidFill>
          <a:schemeClr val="bg1">
            <a:lumMod val="95000"/>
          </a:schemeClr>
        </a:solidFill>
        <a:ln>
          <a:solidFill>
            <a:schemeClr val="tx1"/>
          </a:solidFill>
        </a:ln>
      </c:spPr>
    </c:plotArea>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Sheet4!$H$24</c:f>
              <c:strCache>
                <c:ptCount val="1"/>
                <c:pt idx="0">
                  <c:v>RHB/Inc</c:v>
                </c:pt>
              </c:strCache>
            </c:strRef>
          </c:tx>
          <c:spPr>
            <a:ln w="19050">
              <a:noFill/>
            </a:ln>
          </c:spPr>
          <c:marker>
            <c:symbol val="circle"/>
            <c:size val="5"/>
            <c:spPr>
              <a:solidFill>
                <a:schemeClr val="bg1">
                  <a:lumMod val="50000"/>
                </a:schemeClr>
              </a:solidFill>
              <a:ln>
                <a:noFill/>
              </a:ln>
            </c:spPr>
          </c:marker>
          <c:trendline>
            <c:spPr>
              <a:ln w="12700">
                <a:prstDash val="dash"/>
              </a:ln>
            </c:spPr>
            <c:trendlineType val="linear"/>
            <c:dispRSqr val="1"/>
            <c:dispEq val="1"/>
            <c:trendlineLbl>
              <c:layout>
                <c:manualLayout>
                  <c:x val="-8.4711381880184691E-2"/>
                  <c:y val="-0.15375234345706787"/>
                </c:manualLayout>
              </c:layout>
              <c:numFmt formatCode="General" sourceLinked="0"/>
              <c:txPr>
                <a:bodyPr/>
                <a:lstStyle/>
                <a:p>
                  <a:pPr>
                    <a:defRPr b="1"/>
                  </a:pPr>
                  <a:endParaRPr lang="en-US"/>
                </a:p>
              </c:txPr>
            </c:trendlineLbl>
          </c:trendline>
          <c:xVal>
            <c:numRef>
              <c:f>Sheet4!$G$25:$G$30</c:f>
              <c:numCache>
                <c:formatCode>0,000</c:formatCode>
                <c:ptCount val="6"/>
                <c:pt idx="0" formatCode="General">
                  <c:v>0</c:v>
                </c:pt>
                <c:pt idx="1">
                  <c:v>0.81421052631578905</c:v>
                </c:pt>
                <c:pt idx="2">
                  <c:v>3.72272727272727</c:v>
                </c:pt>
                <c:pt idx="3">
                  <c:v>5.33590909090909</c:v>
                </c:pt>
                <c:pt idx="4">
                  <c:v>11.0854545454545</c:v>
                </c:pt>
                <c:pt idx="5">
                  <c:v>13.070909090909099</c:v>
                </c:pt>
              </c:numCache>
            </c:numRef>
          </c:xVal>
          <c:yVal>
            <c:numRef>
              <c:f>Sheet4!$H$25:$H$30</c:f>
              <c:numCache>
                <c:formatCode>0,000</c:formatCode>
                <c:ptCount val="6"/>
                <c:pt idx="0">
                  <c:v>0</c:v>
                </c:pt>
                <c:pt idx="1">
                  <c:v>1.8578947368421096E-3</c:v>
                </c:pt>
                <c:pt idx="2">
                  <c:v>1.27727272727273E-2</c:v>
                </c:pt>
                <c:pt idx="3">
                  <c:v>4.6640909090909101E-2</c:v>
                </c:pt>
                <c:pt idx="4">
                  <c:v>0.38914545454545507</c:v>
                </c:pt>
                <c:pt idx="5">
                  <c:v>0.869290909090909</c:v>
                </c:pt>
              </c:numCache>
            </c:numRef>
          </c:yVal>
          <c:smooth val="0"/>
          <c:extLst>
            <c:ext xmlns:c16="http://schemas.microsoft.com/office/drawing/2014/chart" uri="{C3380CC4-5D6E-409C-BE32-E72D297353CC}">
              <c16:uniqueId val="{00000001-ED48-4964-968F-1D28FC722BAA}"/>
            </c:ext>
          </c:extLst>
        </c:ser>
        <c:dLbls>
          <c:showLegendKey val="0"/>
          <c:showVal val="0"/>
          <c:showCatName val="0"/>
          <c:showSerName val="0"/>
          <c:showPercent val="0"/>
          <c:showBubbleSize val="0"/>
        </c:dLbls>
        <c:axId val="373142656"/>
        <c:axId val="373144576"/>
      </c:scatterChart>
      <c:valAx>
        <c:axId val="373142656"/>
        <c:scaling>
          <c:orientation val="minMax"/>
          <c:max val="20"/>
        </c:scaling>
        <c:delete val="0"/>
        <c:axPos val="b"/>
        <c:title>
          <c:tx>
            <c:rich>
              <a:bodyPr/>
              <a:lstStyle/>
              <a:p>
                <a:pPr>
                  <a:defRPr/>
                </a:pPr>
                <a:r>
                  <a:rPr lang="en-US"/>
                  <a:t>C</a:t>
                </a:r>
                <a:r>
                  <a:rPr lang="en-US" baseline="-25000"/>
                  <a:t>e</a:t>
                </a:r>
              </a:p>
            </c:rich>
          </c:tx>
          <c:overlay val="0"/>
        </c:title>
        <c:numFmt formatCode="General" sourceLinked="1"/>
        <c:majorTickMark val="out"/>
        <c:minorTickMark val="none"/>
        <c:tickLblPos val="nextTo"/>
        <c:spPr>
          <a:ln>
            <a:solidFill>
              <a:schemeClr val="tx1"/>
            </a:solidFill>
          </a:ln>
        </c:spPr>
        <c:crossAx val="373144576"/>
        <c:crosses val="autoZero"/>
        <c:crossBetween val="midCat"/>
      </c:valAx>
      <c:valAx>
        <c:axId val="373144576"/>
        <c:scaling>
          <c:orientation val="minMax"/>
          <c:min val="0"/>
        </c:scaling>
        <c:delete val="0"/>
        <c:axPos val="l"/>
        <c:title>
          <c:tx>
            <c:rich>
              <a:bodyPr/>
              <a:lstStyle/>
              <a:p>
                <a:pPr>
                  <a:defRPr/>
                </a:pPr>
                <a:r>
                  <a:rPr lang="en-US"/>
                  <a:t>Q</a:t>
                </a:r>
                <a:r>
                  <a:rPr lang="en-US" baseline="-25000"/>
                  <a:t>e</a:t>
                </a:r>
                <a:r>
                  <a:rPr lang="en-US"/>
                  <a:t> (mg g</a:t>
                </a:r>
                <a:r>
                  <a:rPr lang="en-US" baseline="30000"/>
                  <a:t>-1</a:t>
                </a:r>
                <a:r>
                  <a:rPr lang="en-US"/>
                  <a:t>)</a:t>
                </a:r>
              </a:p>
            </c:rich>
          </c:tx>
          <c:overlay val="0"/>
        </c:title>
        <c:numFmt formatCode="General" sourceLinked="0"/>
        <c:majorTickMark val="out"/>
        <c:minorTickMark val="none"/>
        <c:tickLblPos val="nextTo"/>
        <c:spPr>
          <a:ln>
            <a:solidFill>
              <a:schemeClr val="tx1"/>
            </a:solidFill>
          </a:ln>
        </c:spPr>
        <c:crossAx val="373142656"/>
        <c:crosses val="autoZero"/>
        <c:crossBetween val="midCat"/>
        <c:majorUnit val="0.25"/>
      </c:valAx>
      <c:spPr>
        <a:solidFill>
          <a:schemeClr val="bg1">
            <a:lumMod val="95000"/>
          </a:schemeClr>
        </a:solidFill>
        <a:ln>
          <a:solidFill>
            <a:schemeClr val="tx1"/>
          </a:solidFill>
        </a:ln>
      </c:spPr>
    </c:plotArea>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Sheet5!$I$4</c:f>
              <c:strCache>
                <c:ptCount val="1"/>
                <c:pt idx="0">
                  <c:v>Log qe</c:v>
                </c:pt>
              </c:strCache>
            </c:strRef>
          </c:tx>
          <c:spPr>
            <a:ln w="19050">
              <a:noFill/>
            </a:ln>
          </c:spPr>
          <c:marker>
            <c:symbol val="triangle"/>
            <c:size val="5"/>
            <c:spPr>
              <a:solidFill>
                <a:srgbClr val="FFC000"/>
              </a:solidFill>
              <a:ln>
                <a:noFill/>
              </a:ln>
            </c:spPr>
          </c:marker>
          <c:trendline>
            <c:spPr>
              <a:ln w="12700">
                <a:prstDash val="dash"/>
              </a:ln>
            </c:spPr>
            <c:trendlineType val="linear"/>
            <c:dispRSqr val="1"/>
            <c:dispEq val="1"/>
            <c:trendlineLbl>
              <c:layout>
                <c:manualLayout>
                  <c:x val="0.17168858720012772"/>
                  <c:y val="-0.20252256283855974"/>
                </c:manualLayout>
              </c:layout>
              <c:numFmt formatCode="General" sourceLinked="0"/>
              <c:txPr>
                <a:bodyPr/>
                <a:lstStyle/>
                <a:p>
                  <a:pPr>
                    <a:defRPr b="1"/>
                  </a:pPr>
                  <a:endParaRPr lang="en-US"/>
                </a:p>
              </c:txPr>
            </c:trendlineLbl>
          </c:trendline>
          <c:xVal>
            <c:numRef>
              <c:f>Sheet5!$H$5:$H$10</c:f>
              <c:numCache>
                <c:formatCode>0,000</c:formatCode>
                <c:ptCount val="6"/>
                <c:pt idx="0">
                  <c:v>0</c:v>
                </c:pt>
                <c:pt idx="1">
                  <c:v>-7.2557593750608759E-2</c:v>
                </c:pt>
                <c:pt idx="2">
                  <c:v>0.61813988461942049</c:v>
                </c:pt>
                <c:pt idx="3">
                  <c:v>0.75946903741588945</c:v>
                </c:pt>
                <c:pt idx="4">
                  <c:v>1.0606635074169632</c:v>
                </c:pt>
                <c:pt idx="5">
                  <c:v>1.124474583194718</c:v>
                </c:pt>
              </c:numCache>
            </c:numRef>
          </c:xVal>
          <c:yVal>
            <c:numRef>
              <c:f>Sheet5!$I$5:$I$10</c:f>
              <c:numCache>
                <c:formatCode>0,000</c:formatCode>
                <c:ptCount val="6"/>
                <c:pt idx="0">
                  <c:v>0</c:v>
                </c:pt>
                <c:pt idx="1">
                  <c:v>-2.8128752623064508</c:v>
                </c:pt>
                <c:pt idx="2">
                  <c:v>-2.0710294940280809</c:v>
                </c:pt>
                <c:pt idx="3">
                  <c:v>-1.3713422401782427</c:v>
                </c:pt>
                <c:pt idx="4">
                  <c:v>-0.41452901572515816</c:v>
                </c:pt>
                <c:pt idx="5">
                  <c:v>-6.2076542540325269E-2</c:v>
                </c:pt>
              </c:numCache>
            </c:numRef>
          </c:yVal>
          <c:smooth val="0"/>
          <c:extLst>
            <c:ext xmlns:c16="http://schemas.microsoft.com/office/drawing/2014/chart" uri="{C3380CC4-5D6E-409C-BE32-E72D297353CC}">
              <c16:uniqueId val="{00000001-2D1B-483D-A0B6-657BCDF32649}"/>
            </c:ext>
          </c:extLst>
        </c:ser>
        <c:dLbls>
          <c:showLegendKey val="0"/>
          <c:showVal val="0"/>
          <c:showCatName val="0"/>
          <c:showSerName val="0"/>
          <c:showPercent val="0"/>
          <c:showBubbleSize val="0"/>
        </c:dLbls>
        <c:axId val="373321728"/>
        <c:axId val="373323648"/>
      </c:scatterChart>
      <c:valAx>
        <c:axId val="373321728"/>
        <c:scaling>
          <c:orientation val="minMax"/>
          <c:max val="3"/>
          <c:min val="-1"/>
        </c:scaling>
        <c:delete val="0"/>
        <c:axPos val="b"/>
        <c:title>
          <c:tx>
            <c:rich>
              <a:bodyPr/>
              <a:lstStyle/>
              <a:p>
                <a:pPr>
                  <a:defRPr/>
                </a:pPr>
                <a:r>
                  <a:rPr lang="en-US"/>
                  <a:t>Log C</a:t>
                </a:r>
                <a:r>
                  <a:rPr lang="en-US" baseline="-25000"/>
                  <a:t>e</a:t>
                </a:r>
              </a:p>
            </c:rich>
          </c:tx>
          <c:overlay val="0"/>
        </c:title>
        <c:numFmt formatCode="General" sourceLinked="0"/>
        <c:majorTickMark val="out"/>
        <c:minorTickMark val="none"/>
        <c:tickLblPos val="nextTo"/>
        <c:spPr>
          <a:ln>
            <a:solidFill>
              <a:schemeClr val="tx1"/>
            </a:solidFill>
          </a:ln>
        </c:spPr>
        <c:crossAx val="373323648"/>
        <c:crosses val="autoZero"/>
        <c:crossBetween val="midCat"/>
        <c:majorUnit val="1"/>
      </c:valAx>
      <c:valAx>
        <c:axId val="373323648"/>
        <c:scaling>
          <c:orientation val="minMax"/>
          <c:max val="1"/>
          <c:min val="-3"/>
        </c:scaling>
        <c:delete val="0"/>
        <c:axPos val="l"/>
        <c:title>
          <c:tx>
            <c:rich>
              <a:bodyPr/>
              <a:lstStyle/>
              <a:p>
                <a:pPr>
                  <a:defRPr/>
                </a:pPr>
                <a:r>
                  <a:rPr lang="en-US"/>
                  <a:t>Log Q</a:t>
                </a:r>
                <a:r>
                  <a:rPr lang="en-US" baseline="-25000"/>
                  <a:t>e</a:t>
                </a:r>
              </a:p>
            </c:rich>
          </c:tx>
          <c:overlay val="0"/>
        </c:title>
        <c:numFmt formatCode="General" sourceLinked="0"/>
        <c:majorTickMark val="out"/>
        <c:minorTickMark val="none"/>
        <c:tickLblPos val="nextTo"/>
        <c:spPr>
          <a:ln>
            <a:solidFill>
              <a:schemeClr val="tx1"/>
            </a:solidFill>
          </a:ln>
        </c:spPr>
        <c:crossAx val="373321728"/>
        <c:crosses val="autoZero"/>
        <c:crossBetween val="midCat"/>
        <c:majorUnit val="1"/>
      </c:valAx>
      <c:spPr>
        <a:solidFill>
          <a:schemeClr val="bg1">
            <a:lumMod val="95000"/>
          </a:schemeClr>
        </a:solidFill>
        <a:ln>
          <a:solidFill>
            <a:schemeClr val="tx1"/>
          </a:solidFill>
        </a:ln>
      </c:spPr>
    </c:plotArea>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Sheet5!$O$4</c:f>
              <c:strCache>
                <c:ptCount val="1"/>
                <c:pt idx="0">
                  <c:v>Log qe</c:v>
                </c:pt>
              </c:strCache>
            </c:strRef>
          </c:tx>
          <c:spPr>
            <a:ln w="19050">
              <a:noFill/>
            </a:ln>
          </c:spPr>
          <c:marker>
            <c:symbol val="triangle"/>
            <c:size val="5"/>
            <c:spPr>
              <a:solidFill>
                <a:schemeClr val="bg1">
                  <a:lumMod val="50000"/>
                </a:schemeClr>
              </a:solidFill>
              <a:ln>
                <a:noFill/>
              </a:ln>
            </c:spPr>
          </c:marker>
          <c:trendline>
            <c:spPr>
              <a:ln w="12700">
                <a:prstDash val="dash"/>
              </a:ln>
            </c:spPr>
            <c:trendlineType val="linear"/>
            <c:dispRSqr val="1"/>
            <c:dispEq val="1"/>
            <c:trendlineLbl>
              <c:layout>
                <c:manualLayout>
                  <c:x val="0.16849683165398716"/>
                  <c:y val="-0.19565644606107951"/>
                </c:manualLayout>
              </c:layout>
              <c:numFmt formatCode="General" sourceLinked="0"/>
              <c:txPr>
                <a:bodyPr/>
                <a:lstStyle/>
                <a:p>
                  <a:pPr>
                    <a:defRPr b="1"/>
                  </a:pPr>
                  <a:endParaRPr lang="en-US"/>
                </a:p>
              </c:txPr>
            </c:trendlineLbl>
          </c:trendline>
          <c:xVal>
            <c:numRef>
              <c:f>Sheet5!$N$5:$N$10</c:f>
              <c:numCache>
                <c:formatCode>0,000</c:formatCode>
                <c:ptCount val="6"/>
                <c:pt idx="0">
                  <c:v>0</c:v>
                </c:pt>
                <c:pt idx="1">
                  <c:v>-8.9263287253461665E-2</c:v>
                </c:pt>
                <c:pt idx="2">
                  <c:v>0.5708612209382119</c:v>
                </c:pt>
                <c:pt idx="3">
                  <c:v>0.72720842179813627</c:v>
                </c:pt>
                <c:pt idx="4">
                  <c:v>1.0447535055276744</c:v>
                </c:pt>
                <c:pt idx="5">
                  <c:v>1.1163057941172914</c:v>
                </c:pt>
              </c:numCache>
            </c:numRef>
          </c:xVal>
          <c:yVal>
            <c:numRef>
              <c:f>Sheet5!$O$5:$O$10</c:f>
              <c:numCache>
                <c:formatCode>0,000</c:formatCode>
                <c:ptCount val="6"/>
                <c:pt idx="0">
                  <c:v>0</c:v>
                </c:pt>
                <c:pt idx="1">
                  <c:v>-2.7309788955650052</c:v>
                </c:pt>
                <c:pt idx="2">
                  <c:v>-1.8937163609171255</c:v>
                </c:pt>
                <c:pt idx="3">
                  <c:v>-1.3312329932122147</c:v>
                </c:pt>
                <c:pt idx="4">
                  <c:v>-0.40988803800810675</c:v>
                </c:pt>
                <c:pt idx="5">
                  <c:v>-6.0834862135202297E-2</c:v>
                </c:pt>
              </c:numCache>
            </c:numRef>
          </c:yVal>
          <c:smooth val="0"/>
          <c:extLst>
            <c:ext xmlns:c16="http://schemas.microsoft.com/office/drawing/2014/chart" uri="{C3380CC4-5D6E-409C-BE32-E72D297353CC}">
              <c16:uniqueId val="{00000001-8D93-4641-810E-ABDD4542C1E2}"/>
            </c:ext>
          </c:extLst>
        </c:ser>
        <c:dLbls>
          <c:showLegendKey val="0"/>
          <c:showVal val="0"/>
          <c:showCatName val="0"/>
          <c:showSerName val="0"/>
          <c:showPercent val="0"/>
          <c:showBubbleSize val="0"/>
        </c:dLbls>
        <c:axId val="373344896"/>
        <c:axId val="373359360"/>
      </c:scatterChart>
      <c:valAx>
        <c:axId val="373344896"/>
        <c:scaling>
          <c:orientation val="minMax"/>
          <c:max val="3"/>
          <c:min val="-1"/>
        </c:scaling>
        <c:delete val="0"/>
        <c:axPos val="b"/>
        <c:title>
          <c:tx>
            <c:rich>
              <a:bodyPr/>
              <a:lstStyle/>
              <a:p>
                <a:pPr>
                  <a:defRPr/>
                </a:pPr>
                <a:r>
                  <a:rPr lang="en-US"/>
                  <a:t>Log C</a:t>
                </a:r>
                <a:r>
                  <a:rPr lang="en-US" baseline="-25000"/>
                  <a:t>e</a:t>
                </a:r>
              </a:p>
            </c:rich>
          </c:tx>
          <c:overlay val="0"/>
        </c:title>
        <c:numFmt formatCode="General" sourceLinked="0"/>
        <c:majorTickMark val="out"/>
        <c:minorTickMark val="none"/>
        <c:tickLblPos val="nextTo"/>
        <c:spPr>
          <a:ln>
            <a:solidFill>
              <a:schemeClr val="tx1"/>
            </a:solidFill>
          </a:ln>
        </c:spPr>
        <c:crossAx val="373359360"/>
        <c:crosses val="autoZero"/>
        <c:crossBetween val="midCat"/>
        <c:majorUnit val="1"/>
      </c:valAx>
      <c:valAx>
        <c:axId val="373359360"/>
        <c:scaling>
          <c:orientation val="minMax"/>
          <c:max val="1"/>
          <c:min val="-3"/>
        </c:scaling>
        <c:delete val="0"/>
        <c:axPos val="l"/>
        <c:title>
          <c:tx>
            <c:rich>
              <a:bodyPr/>
              <a:lstStyle/>
              <a:p>
                <a:pPr>
                  <a:defRPr/>
                </a:pPr>
                <a:r>
                  <a:rPr lang="en-US"/>
                  <a:t>Log Q</a:t>
                </a:r>
                <a:r>
                  <a:rPr lang="en-US" baseline="-25000"/>
                  <a:t>e</a:t>
                </a:r>
              </a:p>
            </c:rich>
          </c:tx>
          <c:overlay val="0"/>
        </c:title>
        <c:numFmt formatCode="General" sourceLinked="0"/>
        <c:majorTickMark val="out"/>
        <c:minorTickMark val="none"/>
        <c:tickLblPos val="nextTo"/>
        <c:spPr>
          <a:ln>
            <a:solidFill>
              <a:schemeClr val="tx1"/>
            </a:solidFill>
          </a:ln>
        </c:spPr>
        <c:crossAx val="373344896"/>
        <c:crosses val="autoZero"/>
        <c:crossBetween val="midCat"/>
        <c:majorUnit val="1"/>
      </c:valAx>
      <c:spPr>
        <a:solidFill>
          <a:schemeClr val="bg1">
            <a:lumMod val="95000"/>
          </a:schemeClr>
        </a:solidFill>
        <a:ln>
          <a:solidFill>
            <a:schemeClr val="tx1"/>
          </a:solidFill>
        </a:ln>
      </c:spPr>
    </c:plotArea>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a:noFill/>
            </a:ln>
          </c:spPr>
          <c:marker>
            <c:spPr>
              <a:solidFill>
                <a:srgbClr val="FFC000"/>
              </a:solidFill>
              <a:ln>
                <a:noFill/>
              </a:ln>
            </c:spPr>
          </c:marker>
          <c:trendline>
            <c:spPr>
              <a:ln w="12700">
                <a:prstDash val="dash"/>
              </a:ln>
            </c:spPr>
            <c:trendlineType val="linear"/>
            <c:dispRSqr val="1"/>
            <c:dispEq val="1"/>
            <c:trendlineLbl>
              <c:layout>
                <c:manualLayout>
                  <c:x val="0.24165362005187949"/>
                  <c:y val="-0.3732348646816499"/>
                </c:manualLayout>
              </c:layout>
              <c:numFmt formatCode="General" sourceLinked="0"/>
              <c:txPr>
                <a:bodyPr/>
                <a:lstStyle/>
                <a:p>
                  <a:pPr>
                    <a:defRPr b="1"/>
                  </a:pPr>
                  <a:endParaRPr lang="en-US"/>
                </a:p>
              </c:txPr>
            </c:trendlineLbl>
          </c:trendline>
          <c:xVal>
            <c:numRef>
              <c:f>Sheet4!$E$52:$E$57</c:f>
              <c:numCache>
                <c:formatCode>0,000</c:formatCode>
                <c:ptCount val="6"/>
                <c:pt idx="0">
                  <c:v>0</c:v>
                </c:pt>
                <c:pt idx="1">
                  <c:v>0.84614035087719297</c:v>
                </c:pt>
                <c:pt idx="2">
                  <c:v>4.1508771929824597</c:v>
                </c:pt>
                <c:pt idx="3">
                  <c:v>5.7473684210526308</c:v>
                </c:pt>
                <c:pt idx="4">
                  <c:v>11.499090909090899</c:v>
                </c:pt>
                <c:pt idx="5">
                  <c:v>13.3190909090909</c:v>
                </c:pt>
              </c:numCache>
            </c:numRef>
          </c:xVal>
          <c:yVal>
            <c:numRef>
              <c:f>Sheet4!$F$52:$F$57</c:f>
              <c:numCache>
                <c:formatCode>0.00</c:formatCode>
                <c:ptCount val="6"/>
                <c:pt idx="0" formatCode="0,000">
                  <c:v>0</c:v>
                </c:pt>
                <c:pt idx="1">
                  <c:v>549.94298745724052</c:v>
                </c:pt>
                <c:pt idx="2">
                  <c:v>488.84297520661403</c:v>
                </c:pt>
                <c:pt idx="3">
                  <c:v>135.14851485148512</c:v>
                </c:pt>
                <c:pt idx="4">
                  <c:v>29.867063351514684</c:v>
                </c:pt>
                <c:pt idx="5">
                  <c:v>15.365656692781243</c:v>
                </c:pt>
              </c:numCache>
            </c:numRef>
          </c:yVal>
          <c:smooth val="0"/>
          <c:extLst>
            <c:ext xmlns:c16="http://schemas.microsoft.com/office/drawing/2014/chart" uri="{C3380CC4-5D6E-409C-BE32-E72D297353CC}">
              <c16:uniqueId val="{00000001-5DBF-4F67-BDC4-C7673490EA52}"/>
            </c:ext>
          </c:extLst>
        </c:ser>
        <c:dLbls>
          <c:showLegendKey val="0"/>
          <c:showVal val="0"/>
          <c:showCatName val="0"/>
          <c:showSerName val="0"/>
          <c:showPercent val="0"/>
          <c:showBubbleSize val="0"/>
        </c:dLbls>
        <c:axId val="373393280"/>
        <c:axId val="373395456"/>
      </c:scatterChart>
      <c:valAx>
        <c:axId val="373393280"/>
        <c:scaling>
          <c:orientation val="minMax"/>
          <c:max val="20"/>
        </c:scaling>
        <c:delete val="0"/>
        <c:axPos val="b"/>
        <c:title>
          <c:tx>
            <c:rich>
              <a:bodyPr/>
              <a:lstStyle/>
              <a:p>
                <a:pPr>
                  <a:defRPr/>
                </a:pPr>
                <a:r>
                  <a:rPr lang="en-US"/>
                  <a:t>C</a:t>
                </a:r>
                <a:r>
                  <a:rPr lang="en-US" baseline="-25000"/>
                  <a:t>e</a:t>
                </a:r>
              </a:p>
            </c:rich>
          </c:tx>
          <c:overlay val="0"/>
        </c:title>
        <c:numFmt formatCode="General" sourceLinked="0"/>
        <c:majorTickMark val="out"/>
        <c:minorTickMark val="none"/>
        <c:tickLblPos val="nextTo"/>
        <c:spPr>
          <a:ln>
            <a:solidFill>
              <a:schemeClr val="tx1"/>
            </a:solidFill>
          </a:ln>
        </c:spPr>
        <c:crossAx val="373395456"/>
        <c:crosses val="autoZero"/>
        <c:crossBetween val="midCat"/>
        <c:majorUnit val="5"/>
      </c:valAx>
      <c:valAx>
        <c:axId val="373395456"/>
        <c:scaling>
          <c:orientation val="minMax"/>
        </c:scaling>
        <c:delete val="0"/>
        <c:axPos val="l"/>
        <c:title>
          <c:tx>
            <c:rich>
              <a:bodyPr/>
              <a:lstStyle/>
              <a:p>
                <a:pPr>
                  <a:defRPr/>
                </a:pPr>
                <a:r>
                  <a:rPr lang="en-US"/>
                  <a:t>C</a:t>
                </a:r>
                <a:r>
                  <a:rPr lang="en-US" baseline="-25000"/>
                  <a:t>e</a:t>
                </a:r>
                <a:r>
                  <a:rPr lang="en-US"/>
                  <a:t>/Q</a:t>
                </a:r>
                <a:r>
                  <a:rPr lang="en-US" baseline="-25000"/>
                  <a:t>e</a:t>
                </a:r>
              </a:p>
            </c:rich>
          </c:tx>
          <c:overlay val="0"/>
        </c:title>
        <c:numFmt formatCode="General" sourceLinked="0"/>
        <c:majorTickMark val="out"/>
        <c:minorTickMark val="none"/>
        <c:tickLblPos val="nextTo"/>
        <c:spPr>
          <a:ln>
            <a:solidFill>
              <a:schemeClr val="tx1"/>
            </a:solidFill>
          </a:ln>
        </c:spPr>
        <c:crossAx val="373393280"/>
        <c:crosses val="autoZero"/>
        <c:crossBetween val="midCat"/>
        <c:majorUnit val="150"/>
      </c:valAx>
      <c:spPr>
        <a:solidFill>
          <a:schemeClr val="bg1">
            <a:lumMod val="95000"/>
          </a:schemeClr>
        </a:solidFill>
        <a:ln>
          <a:solidFill>
            <a:schemeClr val="tx1"/>
          </a:solidFill>
        </a:ln>
      </c:spPr>
    </c:plotArea>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a:noFill/>
            </a:ln>
          </c:spPr>
          <c:marker>
            <c:spPr>
              <a:solidFill>
                <a:schemeClr val="bg1">
                  <a:lumMod val="50000"/>
                </a:schemeClr>
              </a:solidFill>
              <a:ln>
                <a:noFill/>
              </a:ln>
            </c:spPr>
          </c:marker>
          <c:trendline>
            <c:spPr>
              <a:ln w="12700">
                <a:prstDash val="dash"/>
              </a:ln>
            </c:spPr>
            <c:trendlineType val="linear"/>
            <c:dispRSqr val="1"/>
            <c:dispEq val="1"/>
            <c:trendlineLbl>
              <c:layout>
                <c:manualLayout>
                  <c:x val="0.25539784500621632"/>
                  <c:y val="-0.36495671898628568"/>
                </c:manualLayout>
              </c:layout>
              <c:numFmt formatCode="General" sourceLinked="0"/>
              <c:txPr>
                <a:bodyPr/>
                <a:lstStyle/>
                <a:p>
                  <a:pPr>
                    <a:defRPr b="1"/>
                  </a:pPr>
                  <a:endParaRPr lang="en-US"/>
                </a:p>
              </c:txPr>
            </c:trendlineLbl>
          </c:trendline>
          <c:xVal>
            <c:numRef>
              <c:f>Sheet4!$G$52:$G$57</c:f>
              <c:numCache>
                <c:formatCode>0,000</c:formatCode>
                <c:ptCount val="6"/>
                <c:pt idx="0">
                  <c:v>0</c:v>
                </c:pt>
                <c:pt idx="1">
                  <c:v>0.81421052631578905</c:v>
                </c:pt>
                <c:pt idx="2">
                  <c:v>3.72272727272727</c:v>
                </c:pt>
                <c:pt idx="3">
                  <c:v>5.33590909090909</c:v>
                </c:pt>
                <c:pt idx="4">
                  <c:v>11.0854545454545</c:v>
                </c:pt>
                <c:pt idx="5">
                  <c:v>13.070909090909099</c:v>
                </c:pt>
              </c:numCache>
            </c:numRef>
          </c:xVal>
          <c:yVal>
            <c:numRef>
              <c:f>Sheet4!$H$52:$H$57</c:f>
              <c:numCache>
                <c:formatCode>0.00</c:formatCode>
                <c:ptCount val="6"/>
                <c:pt idx="0" formatCode="0,000">
                  <c:v>0</c:v>
                </c:pt>
                <c:pt idx="1">
                  <c:v>438.24362606232171</c:v>
                </c:pt>
                <c:pt idx="2">
                  <c:v>291.45907473309524</c:v>
                </c:pt>
                <c:pt idx="3">
                  <c:v>114.40405418575183</c:v>
                </c:pt>
                <c:pt idx="4">
                  <c:v>28.486660748493044</c:v>
                </c:pt>
                <c:pt idx="5">
                  <c:v>15.03628872016901</c:v>
                </c:pt>
              </c:numCache>
            </c:numRef>
          </c:yVal>
          <c:smooth val="0"/>
          <c:extLst>
            <c:ext xmlns:c16="http://schemas.microsoft.com/office/drawing/2014/chart" uri="{C3380CC4-5D6E-409C-BE32-E72D297353CC}">
              <c16:uniqueId val="{00000001-7A05-4EDB-9303-0693C1DDF013}"/>
            </c:ext>
          </c:extLst>
        </c:ser>
        <c:dLbls>
          <c:showLegendKey val="0"/>
          <c:showVal val="0"/>
          <c:showCatName val="0"/>
          <c:showSerName val="0"/>
          <c:showPercent val="0"/>
          <c:showBubbleSize val="0"/>
        </c:dLbls>
        <c:axId val="373420800"/>
        <c:axId val="373422720"/>
      </c:scatterChart>
      <c:valAx>
        <c:axId val="373420800"/>
        <c:scaling>
          <c:orientation val="minMax"/>
          <c:max val="20"/>
        </c:scaling>
        <c:delete val="0"/>
        <c:axPos val="b"/>
        <c:title>
          <c:tx>
            <c:rich>
              <a:bodyPr/>
              <a:lstStyle/>
              <a:p>
                <a:pPr>
                  <a:defRPr/>
                </a:pPr>
                <a:r>
                  <a:rPr lang="en-US"/>
                  <a:t>C</a:t>
                </a:r>
                <a:r>
                  <a:rPr lang="en-US" baseline="-25000"/>
                  <a:t>e</a:t>
                </a:r>
              </a:p>
            </c:rich>
          </c:tx>
          <c:overlay val="0"/>
        </c:title>
        <c:numFmt formatCode="General" sourceLinked="0"/>
        <c:majorTickMark val="out"/>
        <c:minorTickMark val="none"/>
        <c:tickLblPos val="nextTo"/>
        <c:spPr>
          <a:ln>
            <a:solidFill>
              <a:schemeClr val="tx1"/>
            </a:solidFill>
          </a:ln>
        </c:spPr>
        <c:crossAx val="373422720"/>
        <c:crosses val="autoZero"/>
        <c:crossBetween val="midCat"/>
      </c:valAx>
      <c:valAx>
        <c:axId val="373422720"/>
        <c:scaling>
          <c:orientation val="minMax"/>
          <c:max val="600"/>
        </c:scaling>
        <c:delete val="0"/>
        <c:axPos val="l"/>
        <c:title>
          <c:tx>
            <c:rich>
              <a:bodyPr/>
              <a:lstStyle/>
              <a:p>
                <a:pPr>
                  <a:defRPr/>
                </a:pPr>
                <a:r>
                  <a:rPr lang="en-US"/>
                  <a:t>C</a:t>
                </a:r>
                <a:r>
                  <a:rPr lang="en-US" baseline="-25000"/>
                  <a:t>e</a:t>
                </a:r>
                <a:r>
                  <a:rPr lang="en-US"/>
                  <a:t>/Q</a:t>
                </a:r>
                <a:r>
                  <a:rPr lang="en-US" baseline="-25000"/>
                  <a:t>e</a:t>
                </a:r>
              </a:p>
            </c:rich>
          </c:tx>
          <c:overlay val="0"/>
        </c:title>
        <c:numFmt formatCode="General" sourceLinked="0"/>
        <c:majorTickMark val="out"/>
        <c:minorTickMark val="none"/>
        <c:tickLblPos val="nextTo"/>
        <c:spPr>
          <a:ln>
            <a:solidFill>
              <a:schemeClr val="tx1"/>
            </a:solidFill>
          </a:ln>
        </c:spPr>
        <c:crossAx val="373420800"/>
        <c:crosses val="autoZero"/>
        <c:crossBetween val="midCat"/>
        <c:majorUnit val="150"/>
      </c:valAx>
      <c:spPr>
        <a:solidFill>
          <a:schemeClr val="bg1">
            <a:lumMod val="95000"/>
          </a:schemeClr>
        </a:solidFill>
        <a:ln>
          <a:solidFill>
            <a:schemeClr val="tx1">
              <a:lumMod val="95000"/>
              <a:lumOff val="5000"/>
            </a:schemeClr>
          </a:solidFill>
        </a:ln>
      </c:spPr>
    </c:plotArea>
    <c:plotVisOnly val="1"/>
    <c:dispBlanksAs val="gap"/>
    <c:showDLblsOverMax val="0"/>
  </c:chart>
  <c:spPr>
    <a:ln>
      <a:noFill/>
    </a:ln>
  </c:spPr>
  <c:txPr>
    <a:bodyPr/>
    <a:lstStyle/>
    <a:p>
      <a:pPr>
        <a:defRPr sz="800" b="0">
          <a:latin typeface="+mn-lt"/>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DD36E-850D-4ABF-A6EF-FE0EBF050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14</Pages>
  <Words>5476</Words>
  <Characters>31215</Characters>
  <Application>Microsoft Office Word</Application>
  <DocSecurity>0</DocSecurity>
  <Lines>260</Lines>
  <Paragraphs>73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home</Company>
  <LinksUpToDate>false</LinksUpToDate>
  <CharactersWithSpaces>36618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Ratna</dc:creator>
  <cp:lastModifiedBy>Herviyanti Herviyanti</cp:lastModifiedBy>
  <cp:revision>3</cp:revision>
  <cp:lastPrinted>2018-04-30T07:25:00Z</cp:lastPrinted>
  <dcterms:created xsi:type="dcterms:W3CDTF">2022-06-01T04:43:00Z</dcterms:created>
  <dcterms:modified xsi:type="dcterms:W3CDTF">2022-06-01T04:55:00Z</dcterms:modified>
</cp:coreProperties>
</file>