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DF0D8" w14:textId="77777777" w:rsidR="001D1C02" w:rsidRDefault="00000000">
      <w:pPr>
        <w:pStyle w:val="ArticleTitle"/>
        <w:spacing w:line="20" w:lineRule="atLeast"/>
      </w:pPr>
      <w:r>
        <w:t xml:space="preserve">From “Soft Power” to “Warm Power”: The “Thai-ization” of Guangxi Mainstream Media’s Social Media Communication in Thailand – Niche communication and the Construction of Emotional Community </w:t>
      </w:r>
    </w:p>
    <w:p w14:paraId="17BD7606" w14:textId="77777777" w:rsidR="001D1C02" w:rsidRDefault="001D1C02">
      <w:pPr>
        <w:spacing w:after="0" w:line="20" w:lineRule="atLeast"/>
        <w:jc w:val="center"/>
        <w:rPr>
          <w:rFonts w:ascii="TH Sarabun New" w:hAnsi="TH Sarabun New" w:cs="TH Sarabun New"/>
          <w:b/>
          <w:bCs/>
          <w:sz w:val="40"/>
          <w:szCs w:val="40"/>
          <w:lang w:eastAsia="zh-CN"/>
        </w:rPr>
      </w:pPr>
    </w:p>
    <w:p w14:paraId="5A6578B4" w14:textId="77777777" w:rsidR="001D1C02" w:rsidRDefault="00000000">
      <w:pPr>
        <w:pStyle w:val="Authors"/>
      </w:pPr>
      <w:r>
        <w:t>Yuan Xu</w:t>
      </w:r>
      <w:r>
        <w:rPr>
          <w:vertAlign w:val="superscript"/>
        </w:rPr>
        <w:t>1</w:t>
      </w:r>
    </w:p>
    <w:p w14:paraId="01D477E6" w14:textId="77777777" w:rsidR="001D1C02" w:rsidRDefault="001D1C02">
      <w:pPr>
        <w:spacing w:after="0" w:line="20" w:lineRule="atLeast"/>
        <w:jc w:val="center"/>
        <w:rPr>
          <w:rFonts w:ascii="TH Sarabun New" w:hAnsi="TH Sarabun New" w:cs="TH Sarabun New"/>
          <w:sz w:val="32"/>
          <w:szCs w:val="32"/>
        </w:rPr>
      </w:pPr>
    </w:p>
    <w:p w14:paraId="4F085240" w14:textId="77777777" w:rsidR="001D1C02" w:rsidRDefault="00000000">
      <w:pPr>
        <w:pStyle w:val="Affiliation"/>
        <w:spacing w:line="20" w:lineRule="atLeast"/>
      </w:pPr>
      <w:r>
        <w:rPr>
          <w:vertAlign w:val="superscript"/>
        </w:rPr>
        <w:t>1*</w:t>
      </w:r>
      <w:r>
        <w:t xml:space="preserve"> </w:t>
      </w:r>
      <w:r>
        <w:rPr>
          <w:rStyle w:val="AffiliationChar"/>
          <w:rFonts w:hint="eastAsia"/>
          <w:i/>
          <w:iCs/>
          <w:lang w:eastAsia="zh-CN"/>
        </w:rPr>
        <w:t>F</w:t>
      </w:r>
      <w:r>
        <w:rPr>
          <w:rStyle w:val="AffiliationChar"/>
          <w:i/>
          <w:iCs/>
        </w:rPr>
        <w:t xml:space="preserve">actuly of Social Science, Naresuan University, Thailand &amp; Guangxi Radio and Television, China </w:t>
      </w:r>
    </w:p>
    <w:p w14:paraId="0D4834BA" w14:textId="77777777" w:rsidR="001D1C02" w:rsidRDefault="001D1C02">
      <w:pPr>
        <w:spacing w:after="0" w:line="20" w:lineRule="atLeast"/>
        <w:jc w:val="center"/>
        <w:rPr>
          <w:rFonts w:ascii="TH Sarabun New" w:hAnsi="TH Sarabun New" w:cs="TH Sarabun New"/>
          <w:i/>
          <w:iCs/>
          <w:sz w:val="28"/>
        </w:rPr>
      </w:pPr>
    </w:p>
    <w:p w14:paraId="261B7506" w14:textId="77777777" w:rsidR="001D1C02" w:rsidRDefault="00000000">
      <w:pPr>
        <w:pStyle w:val="E-mail"/>
        <w:spacing w:line="20" w:lineRule="atLeast"/>
        <w:rPr>
          <w:cs/>
          <w:lang w:eastAsia="zh-CN"/>
        </w:rPr>
      </w:pPr>
      <w:r>
        <w:rPr>
          <w:rFonts w:hint="eastAsia"/>
          <w:lang w:eastAsia="zh-CN"/>
        </w:rPr>
        <w:t>E</w:t>
      </w:r>
      <w:r>
        <w:t>-mail: 215174214@qq.com</w:t>
      </w:r>
      <w:r>
        <w:rPr>
          <w:cs/>
        </w:rPr>
        <w:t xml:space="preserve"> </w:t>
      </w:r>
    </w:p>
    <w:p w14:paraId="06653C87" w14:textId="77777777" w:rsidR="001D1C02" w:rsidRDefault="001D1C02">
      <w:pPr>
        <w:spacing w:after="0" w:line="20" w:lineRule="atLeast"/>
        <w:jc w:val="center"/>
        <w:rPr>
          <w:rFonts w:ascii="TH Sarabun New" w:hAnsi="TH Sarabun New" w:cs="TH Sarabun New"/>
          <w:sz w:val="24"/>
          <w:szCs w:val="24"/>
        </w:rPr>
      </w:pPr>
    </w:p>
    <w:p w14:paraId="74CFB63F" w14:textId="77777777" w:rsidR="001D1C02" w:rsidRDefault="001D1C02">
      <w:pPr>
        <w:spacing w:after="0" w:line="20" w:lineRule="atLeast"/>
        <w:jc w:val="center"/>
        <w:rPr>
          <w:rFonts w:ascii="TH Sarabun New" w:hAnsi="TH Sarabun New" w:cs="TH Sarabun New"/>
          <w:sz w:val="24"/>
          <w:szCs w:val="24"/>
        </w:rPr>
      </w:pPr>
    </w:p>
    <w:p w14:paraId="5F8F795C" w14:textId="77777777" w:rsidR="001D1C02" w:rsidRDefault="00000000">
      <w:pPr>
        <w:spacing w:after="0" w:line="20" w:lineRule="atLeast"/>
        <w:jc w:val="center"/>
        <w:rPr>
          <w:rFonts w:ascii="TH Sarabun New" w:hAnsi="TH Sarabun New" w:cs="TH Sarabun New"/>
          <w:b/>
          <w:bCs/>
          <w:i/>
          <w:iCs/>
          <w:sz w:val="28"/>
        </w:rPr>
      </w:pPr>
      <w:r>
        <w:rPr>
          <w:rFonts w:ascii="TH Sarabun New" w:hAnsi="TH Sarabun New" w:cs="TH Sarabun New"/>
          <w:b/>
          <w:bCs/>
          <w:i/>
          <w:iCs/>
          <w:sz w:val="28"/>
        </w:rPr>
        <w:t>Abstract</w:t>
      </w:r>
    </w:p>
    <w:p w14:paraId="1E2F9C9C" w14:textId="77777777" w:rsidR="001D1C02" w:rsidRDefault="00000000">
      <w:pPr>
        <w:spacing w:after="0" w:line="20" w:lineRule="atLeast"/>
        <w:jc w:val="both"/>
        <w:rPr>
          <w:rFonts w:ascii="TH Sarabun New" w:hAnsi="TH Sarabun New" w:cs="TH Sarabun New"/>
          <w:b/>
          <w:bCs/>
          <w:i/>
          <w:iCs/>
          <w:sz w:val="28"/>
        </w:rPr>
      </w:pPr>
      <w:r>
        <w:rPr>
          <w:rStyle w:val="AbstractChar"/>
        </w:rPr>
        <w:t>This study examines how local mainstream media in China construct “warm power” through localized international communication practices, taking Guangxi’s Thailand-oriented communication as the primary case, with Yunnan’s Myanmar-oriented practices as a comparative reference. Against the backdrop of deepening China–ASEAN relations and the limitations of traditional soft power in the social media era, the study adopts a qualitative case-based design integrating document analysis, qualitative content analysis, and comparative interpretation. The findings reveal that Guangxi’s international communication has evolved from fragmented media operations toward a coordinated warm power ecosystem characterized by strategic hub coordination, platform-based audience segmentation, culturally localized narratives, and sustained affective interaction. Through Thai-localized storytelling, people-centered everyday narratives, and integrated online–offline engagement, Guangxi’s media practices have shifted the logic of influence from symbolic image display to relationship-oriented communication, fostering emotional resonance, trust, and early forms of cross-cultural affective communities. Comparative observations from Yunnan further demonstrate that cultural proximity, audience segmentation, and “warm interaction” are key enabling conditions for warm power diffusion in Southeast Asia. Theoretically, this study advances the concept of warm power as a form of relational influence grounded in affective connectivity and sustained interaction, enriching international communication theory with a regionally embedded perspective. Practically, it highlights the unique role of local media as affective interfaces in China’s international communication system and offers insights for enhancing people-to-people connectivity and cross-cultural understanding in the ASEAN context.</w:t>
      </w:r>
    </w:p>
    <w:p w14:paraId="2397CC83" w14:textId="77777777" w:rsidR="001D1C02" w:rsidRDefault="00000000">
      <w:pPr>
        <w:spacing w:after="0" w:line="20" w:lineRule="atLeast"/>
        <w:jc w:val="both"/>
        <w:rPr>
          <w:rFonts w:ascii="TH Sarabun New" w:hAnsi="TH Sarabun New" w:cs="TH Sarabun New"/>
          <w:sz w:val="28"/>
          <w:cs/>
        </w:rPr>
      </w:pPr>
      <w:r>
        <w:rPr>
          <w:rFonts w:ascii="TH Sarabun New" w:hAnsi="TH Sarabun New" w:cs="TH Sarabun New"/>
          <w:b/>
          <w:bCs/>
          <w:i/>
          <w:iCs/>
          <w:sz w:val="28"/>
        </w:rPr>
        <w:t>Keywords</w:t>
      </w:r>
      <w:r>
        <w:rPr>
          <w:rFonts w:ascii="TH Sarabun New" w:hAnsi="TH Sarabun New" w:cs="TH Sarabun New"/>
          <w:b/>
          <w:bCs/>
          <w:sz w:val="28"/>
        </w:rPr>
        <w:t>:</w:t>
      </w:r>
      <w:r>
        <w:rPr>
          <w:rFonts w:ascii="TH Sarabun New" w:hAnsi="TH Sarabun New" w:cs="TH Sarabun New"/>
          <w:sz w:val="28"/>
        </w:rPr>
        <w:t xml:space="preserve"> </w:t>
      </w:r>
      <w:r>
        <w:rPr>
          <w:rStyle w:val="KeywordsChar"/>
        </w:rPr>
        <w:t>Warm power; niche communication; international communication; affective communities; local media</w:t>
      </w:r>
    </w:p>
    <w:p w14:paraId="118D8E24" w14:textId="77777777" w:rsidR="001D1C02" w:rsidRDefault="001D1C02">
      <w:pPr>
        <w:spacing w:after="0" w:line="20" w:lineRule="atLeast"/>
        <w:jc w:val="both"/>
        <w:rPr>
          <w:rFonts w:ascii="TH Sarabun New" w:hAnsi="TH Sarabun New" w:cs="TH Sarabun New"/>
          <w:sz w:val="28"/>
        </w:rPr>
      </w:pPr>
    </w:p>
    <w:p w14:paraId="7E92B8AA" w14:textId="77777777" w:rsidR="001D1C02" w:rsidRDefault="001D1C02">
      <w:pPr>
        <w:spacing w:after="0" w:line="20" w:lineRule="atLeast"/>
        <w:jc w:val="both"/>
        <w:rPr>
          <w:rFonts w:ascii="TH Sarabun New" w:hAnsi="TH Sarabun New" w:cs="TH Sarabun New"/>
          <w:sz w:val="28"/>
        </w:rPr>
      </w:pPr>
    </w:p>
    <w:p w14:paraId="5DC35DCC" w14:textId="77777777" w:rsidR="001D1C02" w:rsidRDefault="001D1C02">
      <w:pPr>
        <w:spacing w:after="0" w:line="20" w:lineRule="atLeast"/>
        <w:jc w:val="both"/>
        <w:rPr>
          <w:rFonts w:ascii="TH Sarabun New" w:hAnsi="TH Sarabun New" w:cs="TH Sarabun New"/>
          <w:sz w:val="28"/>
        </w:rPr>
        <w:sectPr w:rsidR="001D1C02">
          <w:pgSz w:w="11906" w:h="16838"/>
          <w:pgMar w:top="1418" w:right="1134" w:bottom="1134" w:left="1134" w:header="708" w:footer="708" w:gutter="0"/>
          <w:cols w:space="708"/>
          <w:docGrid w:linePitch="360"/>
        </w:sectPr>
      </w:pPr>
    </w:p>
    <w:p w14:paraId="2AF247AF" w14:textId="77777777" w:rsidR="001D1C02" w:rsidRDefault="00000000">
      <w:pPr>
        <w:pStyle w:val="Section"/>
        <w:rPr>
          <w:lang w:eastAsia="zh-CN"/>
        </w:rPr>
      </w:pPr>
      <w:r>
        <w:lastRenderedPageBreak/>
        <w:t xml:space="preserve">INTRODUCTION </w:t>
      </w:r>
    </w:p>
    <w:p w14:paraId="2BB4BF9F" w14:textId="77777777" w:rsidR="001D1C02" w:rsidRDefault="00000000">
      <w:pPr>
        <w:spacing w:after="0" w:line="20" w:lineRule="atLeast"/>
        <w:ind w:firstLine="284"/>
        <w:jc w:val="both"/>
        <w:rPr>
          <w:rStyle w:val="ContentChar"/>
        </w:rPr>
      </w:pPr>
      <w:r>
        <w:rPr>
          <w:rStyle w:val="ContentChar"/>
        </w:rPr>
        <w:t>With the deepening of China–ASEAN relations and the implementation of the Regional Comprehensive Economic Partnership (RCEP), international communication in China’s border and coastal regions has gained increasing strategic importance. As a key hub connecting China with Southeast Asia, the Guangxi Zhuang Autonomous Region (hereafter “Guangxi”) plays a crucial role not only in local image-building but also in advancing China’s regional diplomacy and people-to-people connectivity. In recent years, China’s central leadership has repeatedly emphasized the need to enhance international communication capacity and effectiveness, providing a clear strategic orientation for local media’s outward communication practices.</w:t>
      </w:r>
    </w:p>
    <w:p w14:paraId="5027EF55" w14:textId="77777777" w:rsidR="001D1C02" w:rsidRDefault="00000000">
      <w:pPr>
        <w:spacing w:after="0" w:line="20" w:lineRule="atLeast"/>
        <w:ind w:firstLine="284"/>
        <w:jc w:val="both"/>
        <w:rPr>
          <w:rStyle w:val="ContentChar"/>
        </w:rPr>
      </w:pPr>
      <w:r>
        <w:rPr>
          <w:rStyle w:val="ContentChar"/>
        </w:rPr>
        <w:t>Within this broader context, Chinese local media in provinces such as Guangxi, Yunnan, Guangdong, and Fujian have actively explored precision-oriented international communication strategies toward ASEAN countries. Leveraging geographical proximity and cultural ties, these regions have developed multi-platform, multilingual communication networks. Guangxi, in particular, occupies a unique position as the only Chinese region sharing both land and maritime borders with ASEAN countries. Through initiatives such as the China–ASEAN Media Port and the China–ASEAN Information Port, Guangxi has gradually emerged as an important information hub for Southeast Asia, offering a valuable empirical site for examining localized international communication practices.</w:t>
      </w:r>
    </w:p>
    <w:p w14:paraId="27156F0A" w14:textId="77777777" w:rsidR="001D1C02" w:rsidRDefault="00000000">
      <w:pPr>
        <w:spacing w:after="0" w:line="20" w:lineRule="atLeast"/>
        <w:ind w:firstLine="284"/>
        <w:jc w:val="both"/>
        <w:rPr>
          <w:rStyle w:val="ContentChar"/>
        </w:rPr>
      </w:pPr>
      <w:r>
        <w:rPr>
          <w:rStyle w:val="ContentChar"/>
        </w:rPr>
        <w:t>Meanwhile, the theoretical paradigm of international communication is undergoing significant transformation. The concept of soft power, introduced by Joseph S. Nye Jr., has long emphasized attraction through culture, values, and foreign policy. However, in a global communication environment increasingly shaped by social media, fragmented information flows, and heightened cultural sensitivity, the one-way, image-centered logic of traditional soft power has shown clear limitations. International communication effectiveness now depends less on symbolic display and more on the ability to establish emotional resonance, mutual trust, and sustained relational engagement with target audiences.</w:t>
      </w:r>
    </w:p>
    <w:p w14:paraId="7C51A055" w14:textId="77777777" w:rsidR="001D1C02" w:rsidRDefault="00000000">
      <w:pPr>
        <w:spacing w:after="0" w:line="20" w:lineRule="atLeast"/>
        <w:ind w:firstLine="284"/>
        <w:jc w:val="both"/>
        <w:rPr>
          <w:rStyle w:val="ContentChar"/>
        </w:rPr>
      </w:pPr>
      <w:r>
        <w:rPr>
          <w:rStyle w:val="ContentChar"/>
        </w:rPr>
        <w:t>Against this backdrop, the concept of “warm power” has emerged as an important extension of soft power theory. Rather than replacing soft power, warm power highlights the affective and relational dimensions of influence, emphasizing empathy, emotional interaction, and people-centered communication. It seeks to foster durable goodwill and psychological closeness through culturally resonant narratives, everyday-life storytelling, and interactive communication practices. This relational turn reflects a broader shift from image-oriented persuasion to relationship-oriented communication in the digital era.</w:t>
      </w:r>
    </w:p>
    <w:p w14:paraId="6280C494" w14:textId="77777777" w:rsidR="001D1C02" w:rsidRDefault="00000000">
      <w:pPr>
        <w:spacing w:after="0" w:line="20" w:lineRule="atLeast"/>
        <w:ind w:firstLine="284"/>
        <w:jc w:val="both"/>
        <w:rPr>
          <w:rStyle w:val="ContentChar"/>
        </w:rPr>
      </w:pPr>
      <w:r>
        <w:rPr>
          <w:rStyle w:val="ContentChar"/>
        </w:rPr>
        <w:t>Guangxi’s Thailand-oriented communication practices offer a particularly instructive case for examining this transformation. Through social media platforms, audiovisual co-productions, localized storytelling, and sustained audience interaction, Guangxi’s mainstream media have gradually moved beyond symbolic national representation toward the cultivation of cross-cultural affective ties. In parallel, practices in neighboring provinces such as Yunnan—especially its Myanmar-oriented, livelihood-focused communication—provide a useful comparative reference, highlighting how localized strategies can reinforce emotional identification and relational trust.</w:t>
      </w:r>
    </w:p>
    <w:p w14:paraId="01024A98" w14:textId="77777777" w:rsidR="001D1C02" w:rsidRDefault="00000000">
      <w:pPr>
        <w:spacing w:after="0" w:line="20" w:lineRule="atLeast"/>
        <w:ind w:firstLine="284"/>
        <w:jc w:val="both"/>
        <w:rPr>
          <w:rFonts w:ascii="TH Sarabun New" w:hAnsi="TH Sarabun New" w:cs="TH Sarabun New"/>
          <w:sz w:val="28"/>
        </w:rPr>
      </w:pPr>
      <w:r>
        <w:rPr>
          <w:rStyle w:val="ContentChar"/>
        </w:rPr>
        <w:t xml:space="preserve">Focusing on Guangxi’s social media communication targeting Thailand, this study addresses the following core question: How can local mainstream media transition from soft power–based image display to warm power–based relationship construction through niche-oriented narrative strategies and sustained affective interaction? Theoretically, this study seeks to enrich the conceptual framework of warm power by grounding it in regional and platform-specific practices. Empirically, it aims to distill the “Guangxi experience” and offer insights for enhancing China’s international </w:t>
      </w:r>
      <w:r>
        <w:rPr>
          <w:rStyle w:val="ContentChar"/>
        </w:rPr>
        <w:lastRenderedPageBreak/>
        <w:t>communication capacity in Southeast Asia, particularly in fostering people-to-people connectivity and cross-cultural understanding.</w:t>
      </w:r>
    </w:p>
    <w:p w14:paraId="4FF4611D" w14:textId="77777777" w:rsidR="001D1C02" w:rsidRDefault="001D1C02">
      <w:pPr>
        <w:spacing w:after="0" w:line="20" w:lineRule="atLeast"/>
        <w:jc w:val="both"/>
        <w:rPr>
          <w:rFonts w:ascii="TH Sarabun New" w:hAnsi="TH Sarabun New" w:cs="TH Sarabun New"/>
          <w:sz w:val="28"/>
        </w:rPr>
      </w:pPr>
    </w:p>
    <w:p w14:paraId="6D3E82B4" w14:textId="77777777" w:rsidR="001D1C02" w:rsidRDefault="00000000">
      <w:pPr>
        <w:pStyle w:val="Section"/>
      </w:pPr>
      <w:r>
        <w:t>LITERATURE REVIEW</w:t>
      </w:r>
    </w:p>
    <w:p w14:paraId="122931A6" w14:textId="77777777" w:rsidR="001D1C02" w:rsidRDefault="00000000">
      <w:pPr>
        <w:spacing w:after="0" w:line="20" w:lineRule="atLeast"/>
        <w:jc w:val="both"/>
        <w:rPr>
          <w:rFonts w:ascii="TH Sarabun New" w:hAnsi="TH Sarabun New" w:cs="TH Sarabun New"/>
          <w:i/>
          <w:iCs/>
          <w:sz w:val="28"/>
        </w:rPr>
      </w:pPr>
      <w:r>
        <w:rPr>
          <w:rStyle w:val="Level2HeadingsChar"/>
          <w:i w:val="0"/>
          <w:iCs w:val="0"/>
        </w:rPr>
        <w:t>1. From Soft Power to Warm Power: The Evolution, Rationale, and Process of a Theoretical Shift</w:t>
      </w:r>
    </w:p>
    <w:p w14:paraId="51626354" w14:textId="77777777" w:rsidR="001D1C02" w:rsidRDefault="00000000">
      <w:pPr>
        <w:spacing w:after="0" w:line="20" w:lineRule="atLeast"/>
        <w:ind w:firstLine="284"/>
        <w:jc w:val="both"/>
        <w:rPr>
          <w:rFonts w:ascii="TH Sarabun New" w:hAnsi="TH Sarabun New" w:cs="TH Sarabun New"/>
          <w:sz w:val="28"/>
        </w:rPr>
      </w:pPr>
      <w:r>
        <w:rPr>
          <w:rFonts w:ascii="TH Sarabun New" w:hAnsi="TH Sarabun New" w:cs="TH Sarabun New"/>
          <w:sz w:val="28"/>
        </w:rPr>
        <w:t>Scholarly discussions of international influence have long been structured around the binary of hard power and soft power. Joseph S. Nye Jr. conceptualized soft power as a country’s ability to shape others’ preferences through cultural attraction, political values, and the perceived legitimacy of foreign policy rather than coercion or material inducement (Nye, 1990, 2004). By foregrounding intangible resources such as culture and values, soft power theory significantly influenced cultural diplomacy and international communication practices in the post–Cold War era (Nye, 2011).</w:t>
      </w:r>
    </w:p>
    <w:p w14:paraId="468965EE" w14:textId="77777777" w:rsidR="001D1C02" w:rsidRDefault="00000000">
      <w:pPr>
        <w:spacing w:after="0" w:line="20" w:lineRule="atLeast"/>
        <w:ind w:firstLine="284"/>
        <w:jc w:val="both"/>
        <w:rPr>
          <w:rFonts w:ascii="TH Sarabun New" w:hAnsi="TH Sarabun New" w:cs="TH Sarabun New"/>
          <w:sz w:val="28"/>
        </w:rPr>
      </w:pPr>
      <w:r>
        <w:rPr>
          <w:rFonts w:ascii="TH Sarabun New" w:hAnsi="TH Sarabun New" w:cs="TH Sarabun New"/>
          <w:sz w:val="28"/>
        </w:rPr>
        <w:t>However, the deepening of globalization and the rise of digital media have fundamentally altered the ecology of international communication. Contemporary societies increasingly resemble what Beck (2009) terms a “global risk society,” characterized by value pluralism, information overload, and declining institutional trust. In such contexts, communication strategies framed as “attraction” but embedded with strategic intent may provoke audience suspicion, resistance, or even oppositional decoding (Hall, 1980). Simultaneously, technological empowerment has enhanced audience agency, as global audiences increasingly expect egalitarian dialogue, emotional sincerity, and participatory interaction rather than one-way symbolic projection.</w:t>
      </w:r>
    </w:p>
    <w:p w14:paraId="20184231" w14:textId="77777777" w:rsidR="001D1C02" w:rsidRDefault="00000000">
      <w:pPr>
        <w:spacing w:after="0" w:line="20" w:lineRule="atLeast"/>
        <w:ind w:firstLine="284"/>
        <w:jc w:val="both"/>
        <w:rPr>
          <w:rFonts w:ascii="TH Sarabun New" w:hAnsi="TH Sarabun New" w:cs="TH Sarabun New"/>
          <w:sz w:val="28"/>
        </w:rPr>
      </w:pPr>
      <w:r>
        <w:rPr>
          <w:rFonts w:ascii="TH Sarabun New" w:hAnsi="TH Sarabun New" w:cs="TH Sarabun New"/>
          <w:sz w:val="28"/>
        </w:rPr>
        <w:t>These transformations expose the limitations of traditional soft power theory. While soft power emphasizes the possession and display of cultural and ideological resources, it tends to understate relational construction and emotional connectivity within communication processes. As a result, its explanatory capacity for contemporary, platform-based, audience-centered international communication has become increasingly constrained.</w:t>
      </w:r>
    </w:p>
    <w:p w14:paraId="5DB00666" w14:textId="77777777" w:rsidR="001D1C02" w:rsidRDefault="00000000">
      <w:pPr>
        <w:spacing w:after="0" w:line="20" w:lineRule="atLeast"/>
        <w:ind w:firstLine="284"/>
        <w:jc w:val="both"/>
        <w:rPr>
          <w:rFonts w:ascii="TH Sarabun New" w:hAnsi="TH Sarabun New" w:cs="TH Sarabun New"/>
          <w:sz w:val="28"/>
        </w:rPr>
      </w:pPr>
      <w:r>
        <w:rPr>
          <w:rFonts w:ascii="TH Sarabun New" w:hAnsi="TH Sarabun New" w:cs="TH Sarabun New"/>
          <w:sz w:val="28"/>
        </w:rPr>
        <w:t>Against this backdrop, the concept of warm power has emerged as both a theoretical response and a practical innovation in international communication research. The core logic of warm power lies in redefining communication effectiveness—from visibility and message transmission to emotional understanding, trust formation, and identity-based acceptance (Du, 2024). This shift resonates with China’s emphasis on building a “community with a shared future for mankind” and constructing a “credible, appealing, and respectable” national image, which require international communication to move beyond image display toward sustained people-to-people connectivity.</w:t>
      </w:r>
    </w:p>
    <w:p w14:paraId="44F26486" w14:textId="77777777" w:rsidR="001D1C02" w:rsidRDefault="00000000">
      <w:pPr>
        <w:spacing w:after="0" w:line="20" w:lineRule="atLeast"/>
        <w:ind w:firstLine="284"/>
        <w:jc w:val="both"/>
        <w:rPr>
          <w:rFonts w:ascii="TH Sarabun New" w:hAnsi="TH Sarabun New" w:cs="TH Sarabun New"/>
          <w:sz w:val="28"/>
        </w:rPr>
      </w:pPr>
      <w:r>
        <w:rPr>
          <w:rFonts w:ascii="TH Sarabun New" w:hAnsi="TH Sarabun New" w:cs="TH Sarabun New"/>
          <w:sz w:val="28"/>
        </w:rPr>
        <w:t>Existing scholarship conceptualizes warm power as an extension and refinement of soft power that integrates affective and relational dimensions. At the level of value orientation, warm power emphasizes benevolence, coexistence, and respect for cultural diversity, seeking emotional common ground through universally resonant narratives (Du, 2024). At the level of communication process, it highlights empathy mechanisms, requiring communicators to understand audiences’ emotional states and cognitive frameworks in order to design culturally responsive content and interaction (</w:t>
      </w:r>
      <w:r>
        <w:rPr>
          <w:rFonts w:ascii="TH Sarabun New" w:hAnsi="TH Sarabun New" w:cs="TH Sarabun New" w:hint="eastAsia"/>
          <w:sz w:val="28"/>
        </w:rPr>
        <w:t>An &amp; Huang, 2025</w:t>
      </w:r>
      <w:r>
        <w:rPr>
          <w:rFonts w:ascii="TH Sarabun New" w:hAnsi="TH Sarabun New" w:cs="TH Sarabun New"/>
          <w:sz w:val="28"/>
        </w:rPr>
        <w:t>). At the level of communicative outcomes, warm power aims to establish stable affective relationships and psychological closeness, thereby laying an emotional foundation for deeper value alignment and policy understanding (Zuo, 201</w:t>
      </w:r>
      <w:r>
        <w:rPr>
          <w:rFonts w:ascii="TH Sarabun New" w:hAnsi="TH Sarabun New" w:cs="TH Sarabun New" w:hint="eastAsia"/>
          <w:sz w:val="28"/>
          <w:lang w:eastAsia="zh-CN"/>
        </w:rPr>
        <w:t>6</w:t>
      </w:r>
      <w:r>
        <w:rPr>
          <w:rFonts w:ascii="TH Sarabun New" w:hAnsi="TH Sarabun New" w:cs="TH Sarabun New"/>
          <w:sz w:val="28"/>
        </w:rPr>
        <w:t xml:space="preserve">). In this sense, warm power represents a relational communication philosophy oriented toward dissolving barriers and fostering durable mutual trust. </w:t>
      </w:r>
    </w:p>
    <w:p w14:paraId="220750FB" w14:textId="77777777" w:rsidR="001D1C02" w:rsidRDefault="00000000">
      <w:pPr>
        <w:spacing w:after="0" w:line="20" w:lineRule="atLeast"/>
        <w:jc w:val="both"/>
        <w:rPr>
          <w:rFonts w:ascii="TH Sarabun New" w:hAnsi="TH Sarabun New" w:cs="TH Sarabun New"/>
          <w:sz w:val="28"/>
        </w:rPr>
      </w:pPr>
      <w:r>
        <w:rPr>
          <w:rStyle w:val="Level2HeadingsChar"/>
          <w:i w:val="0"/>
          <w:iCs w:val="0"/>
        </w:rPr>
        <w:t xml:space="preserve">2. Audience Segmentation and Cultural Proximity as Practical Foundations </w:t>
      </w:r>
    </w:p>
    <w:p w14:paraId="0DBA8108" w14:textId="77777777" w:rsidR="001D1C02" w:rsidRDefault="00000000">
      <w:pPr>
        <w:spacing w:after="0" w:line="20" w:lineRule="atLeast"/>
        <w:ind w:firstLine="284"/>
        <w:jc w:val="both"/>
        <w:rPr>
          <w:rStyle w:val="Level3HeadingsChar"/>
          <w:i w:val="0"/>
          <w:iCs w:val="0"/>
        </w:rPr>
      </w:pPr>
      <w:r>
        <w:rPr>
          <w:rStyle w:val="Level3HeadingsChar"/>
          <w:i w:val="0"/>
          <w:iCs w:val="0"/>
        </w:rPr>
        <w:t>The effective construction of warm power depends on refined audience insight and cultural sensitivity. Audience segmentation theory provides a methodological foundation by emphasizing that contemporary audiences are heterogeneous and should be differentiated based on demographic characteristics, psychological traits, and media-</w:t>
      </w:r>
      <w:r>
        <w:rPr>
          <w:rStyle w:val="Level3HeadingsChar"/>
          <w:i w:val="0"/>
          <w:iCs w:val="0"/>
        </w:rPr>
        <w:lastRenderedPageBreak/>
        <w:t>use patterns, with tailored content delivered accordingly (</w:t>
      </w:r>
      <w:r>
        <w:rPr>
          <w:rStyle w:val="Level3HeadingsChar"/>
          <w:rFonts w:hint="eastAsia"/>
          <w:i w:val="0"/>
          <w:iCs w:val="0"/>
        </w:rPr>
        <w:t>Chen &amp; Li, 2025</w:t>
      </w:r>
      <w:r>
        <w:rPr>
          <w:rStyle w:val="Level3HeadingsChar"/>
          <w:i w:val="0"/>
          <w:iCs w:val="0"/>
        </w:rPr>
        <w:t>; Yu, 2020). In international communication, this requires abandoning homogeneous, self-centered messaging strategies and instead addressing the specific needs and interests of diverse social groups within target societies.</w:t>
      </w:r>
    </w:p>
    <w:p w14:paraId="46F4CD33" w14:textId="77777777" w:rsidR="001D1C02" w:rsidRDefault="00000000">
      <w:pPr>
        <w:spacing w:after="0" w:line="20" w:lineRule="atLeast"/>
        <w:ind w:firstLine="284"/>
        <w:jc w:val="both"/>
        <w:rPr>
          <w:rStyle w:val="Level3HeadingsChar"/>
          <w:i w:val="0"/>
          <w:iCs w:val="0"/>
        </w:rPr>
      </w:pPr>
      <w:r>
        <w:rPr>
          <w:rStyle w:val="Level3HeadingsChar"/>
          <w:i w:val="0"/>
          <w:iCs w:val="0"/>
        </w:rPr>
        <w:t>The theory of cultural proximity further clarifies the direction of such segmentation. Hoskins and Mirus (1988) argue that media products experience “cultural discount” in cross-national circulation due to linguistic, institutional, and value differences. To mitigate this effect, international communication must pursue cultural proximity through localization not only in language, but also in narrative structure, symbolic systems, and value presentation. Effective localization aligns communicative content with the cognitive frameworks and affective expectations of target audiences, thereby enhancing resonance and acceptance.</w:t>
      </w:r>
    </w:p>
    <w:p w14:paraId="3870E755" w14:textId="77777777" w:rsidR="001D1C02" w:rsidRDefault="00000000">
      <w:pPr>
        <w:spacing w:after="0" w:line="20" w:lineRule="atLeast"/>
        <w:ind w:firstLine="284"/>
        <w:jc w:val="both"/>
        <w:rPr>
          <w:rFonts w:ascii="TH Sarabun New" w:hAnsi="TH Sarabun New" w:cs="TH Sarabun New"/>
          <w:sz w:val="28"/>
        </w:rPr>
      </w:pPr>
      <w:r>
        <w:rPr>
          <w:rStyle w:val="Level3HeadingsChar"/>
          <w:i w:val="0"/>
          <w:iCs w:val="0"/>
        </w:rPr>
        <w:t xml:space="preserve">Empirical studies of China’s communication toward Southeast Asia demonstrate that localized narratives and segmented strategies significantly improve engagement and emotional identification. By activating shared cultural references and familiar frames of comparison, localized communication reduces psychological distance and enables warm power to take root in specific national contexts. </w:t>
      </w:r>
    </w:p>
    <w:p w14:paraId="5E677E7F" w14:textId="77777777" w:rsidR="001D1C02" w:rsidRDefault="00000000">
      <w:pPr>
        <w:spacing w:after="0" w:line="20" w:lineRule="atLeast"/>
        <w:jc w:val="both"/>
        <w:rPr>
          <w:rStyle w:val="Level3HeadingsChar"/>
          <w:i w:val="0"/>
          <w:iCs w:val="0"/>
        </w:rPr>
      </w:pPr>
      <w:r>
        <w:rPr>
          <w:rStyle w:val="Level2HeadingsChar"/>
          <w:i w:val="0"/>
          <w:iCs w:val="0"/>
        </w:rPr>
        <w:t>3. Research on China’s Regional International Communication</w:t>
      </w:r>
    </w:p>
    <w:p w14:paraId="436CA714" w14:textId="77777777" w:rsidR="001D1C02" w:rsidRDefault="00000000">
      <w:pPr>
        <w:spacing w:after="0" w:line="20" w:lineRule="atLeast"/>
        <w:jc w:val="both"/>
        <w:rPr>
          <w:rStyle w:val="Level3HeadingsChar"/>
          <w:i w:val="0"/>
          <w:iCs w:val="0"/>
        </w:rPr>
      </w:pPr>
      <w:r>
        <w:rPr>
          <w:rStyle w:val="Level3HeadingsChar"/>
          <w:i w:val="0"/>
          <w:iCs w:val="0"/>
        </w:rPr>
        <w:t xml:space="preserve">    Research on China’s international communication has expanded rapidly, yet several limitations remain. At the theoretical level, existing studies largely focus on national-level soft power strategies or macro-policy interpretation. Although warm power has been introduced as an emerging paradigm, it is often discussed in abstract or normative terms, with limited integration into empirically grounded regional case studies (Shen &amp; Jin, 2023; Du, 2024). Systematic analyses that operationalize warm power within concrete country- or region-specific practices remain relatively scarce.</w:t>
      </w:r>
    </w:p>
    <w:p w14:paraId="3A52750B" w14:textId="77777777" w:rsidR="001D1C02" w:rsidRDefault="00000000">
      <w:pPr>
        <w:spacing w:after="0" w:line="20" w:lineRule="atLeast"/>
        <w:jc w:val="both"/>
        <w:rPr>
          <w:rStyle w:val="Level3HeadingsChar"/>
          <w:i w:val="0"/>
          <w:iCs w:val="0"/>
        </w:rPr>
      </w:pPr>
      <w:r>
        <w:rPr>
          <w:rStyle w:val="Level3HeadingsChar"/>
          <w:i w:val="0"/>
          <w:iCs w:val="0"/>
        </w:rPr>
        <w:t xml:space="preserve">    At the level of research objects, scholarly attention to frontier provinces such as Guangxi and Yunnan has increased, reflecting their strategic roles in China–Southeast Asia communication. However, many studies focus on single media platforms or isolated sectors, such as audiovisual translation or social media operations, without adopting an ecological perspective that integrates media institutions, publishing industries, people-to-people exchanges, and platform environments within a unified analytical framework.</w:t>
      </w:r>
    </w:p>
    <w:p w14:paraId="08610B7B" w14:textId="77777777" w:rsidR="001D1C02" w:rsidRDefault="00000000">
      <w:pPr>
        <w:spacing w:after="0" w:line="20" w:lineRule="atLeast"/>
        <w:jc w:val="both"/>
        <w:rPr>
          <w:rStyle w:val="Level3HeadingsChar"/>
          <w:i w:val="0"/>
          <w:iCs w:val="0"/>
        </w:rPr>
      </w:pPr>
      <w:r>
        <w:rPr>
          <w:rStyle w:val="Level3HeadingsChar"/>
          <w:i w:val="0"/>
          <w:iCs w:val="0"/>
        </w:rPr>
        <w:t xml:space="preserve">    From a practical perspective, regional international communication has already developed into a multi-channel and multi-actor landscape. Local media have integrated traditional and digital platforms, diversified content forms, and expanded transnational cooperation. Nevertheless, existing research often treats these practices as parallel cases rather than as interconnected components of a co-evolving communication ecosystem.</w:t>
      </w:r>
    </w:p>
    <w:p w14:paraId="0E02110E" w14:textId="77777777" w:rsidR="001D1C02" w:rsidRDefault="00000000">
      <w:pPr>
        <w:spacing w:after="0" w:line="20" w:lineRule="atLeast"/>
        <w:ind w:firstLine="240"/>
        <w:jc w:val="both"/>
        <w:rPr>
          <w:rFonts w:ascii="TH Sarabun New" w:hAnsi="TH Sarabun New" w:cs="TH Sarabun New"/>
          <w:sz w:val="28"/>
        </w:rPr>
      </w:pPr>
      <w:r>
        <w:rPr>
          <w:rStyle w:val="Level3HeadingsChar"/>
          <w:i w:val="0"/>
          <w:iCs w:val="0"/>
        </w:rPr>
        <w:t>This study addresses these gaps by advancing warm power from a conceptual proposition to an empirically operational analytical framework. Focusing on Guangxi’s communication toward Thailand, with comparative reference to Yunnan’s communication toward Myanmar, it examines how diverse practices interact to form a relational ecosystem of warm power. By integrating narrative strategies, platform operations, publishing-based cultural output, and online–offline interactive activities, the study demonstrates how warm power becomes concretized and effective through strategic coordination and ecosystem construction. In doing so, it contributes a regionally grounded and dynamically integrated perspective to the broader literature on international communication with Chinese characteristics.</w:t>
      </w:r>
    </w:p>
    <w:p w14:paraId="0054EF60" w14:textId="77777777" w:rsidR="001D1C02" w:rsidRDefault="001D1C02">
      <w:pPr>
        <w:spacing w:after="0" w:line="20" w:lineRule="atLeast"/>
        <w:ind w:firstLine="240"/>
        <w:jc w:val="both"/>
        <w:rPr>
          <w:rFonts w:ascii="TH Sarabun New" w:hAnsi="TH Sarabun New" w:cs="TH Sarabun New"/>
          <w:sz w:val="28"/>
          <w:cs/>
        </w:rPr>
      </w:pPr>
    </w:p>
    <w:p w14:paraId="556FEC92" w14:textId="77777777" w:rsidR="001D1C02" w:rsidRDefault="00000000">
      <w:pPr>
        <w:pStyle w:val="Section"/>
      </w:pPr>
      <w:r>
        <w:t>RESEARCH METHODOLOGY</w:t>
      </w:r>
    </w:p>
    <w:p w14:paraId="41D38DCF" w14:textId="77777777" w:rsidR="001D1C02" w:rsidRDefault="00000000">
      <w:pPr>
        <w:pStyle w:val="Level2Headings"/>
      </w:pPr>
      <w:r>
        <w:rPr>
          <w:rStyle w:val="ContentChar"/>
          <w:rFonts w:hint="cs"/>
          <w:b w:val="0"/>
          <w:bCs w:val="0"/>
          <w:i w:val="0"/>
          <w:iCs w:val="0"/>
          <w:cs/>
        </w:rPr>
        <w:t xml:space="preserve">      </w:t>
      </w:r>
      <w:r>
        <w:rPr>
          <w:rStyle w:val="ContentChar"/>
          <w:b w:val="0"/>
          <w:bCs w:val="0"/>
          <w:i w:val="0"/>
          <w:iCs w:val="0"/>
        </w:rPr>
        <w:t xml:space="preserve">This study adopts a qualitative, case-based research design to examine how local mainstream media construct warm power through localized international communication practices. Focusing on Guangxi’s Thailand-oriented communication, with comparative reference to Yunnan’s Myanmar-oriented practices, the research integrates </w:t>
      </w:r>
      <w:r>
        <w:rPr>
          <w:rStyle w:val="ContentChar"/>
          <w:b w:val="0"/>
          <w:bCs w:val="0"/>
          <w:i w:val="0"/>
          <w:iCs w:val="0"/>
        </w:rPr>
        <w:lastRenderedPageBreak/>
        <w:t>document analysis, content analysis, and comparative interpretation to explore the mechanisms of affective and relational communication in a regional context.</w:t>
      </w:r>
    </w:p>
    <w:p w14:paraId="6BF40E38" w14:textId="77777777" w:rsidR="001D1C02" w:rsidRDefault="00000000">
      <w:pPr>
        <w:pStyle w:val="Level2Headings"/>
      </w:pPr>
      <w:r>
        <w:t>1. Population and Samples</w:t>
      </w:r>
    </w:p>
    <w:p w14:paraId="0CD27A40" w14:textId="77777777" w:rsidR="001D1C02" w:rsidRDefault="00000000">
      <w:pPr>
        <w:spacing w:after="0" w:line="20" w:lineRule="atLeast"/>
        <w:ind w:firstLine="284"/>
        <w:jc w:val="both"/>
        <w:rPr>
          <w:rStyle w:val="ContentChar"/>
        </w:rPr>
      </w:pPr>
      <w:r>
        <w:rPr>
          <w:rStyle w:val="Level3HeadingsChar"/>
        </w:rPr>
        <w:t>1.1 Population</w:t>
      </w:r>
      <w:r>
        <w:rPr>
          <w:rFonts w:ascii="TH Sarabun New" w:hAnsi="TH Sarabun New" w:cs="TH Sarabun New"/>
          <w:sz w:val="28"/>
        </w:rPr>
        <w:t xml:space="preserve">: </w:t>
      </w:r>
    </w:p>
    <w:p w14:paraId="01A89F21" w14:textId="77777777" w:rsidR="001D1C02" w:rsidRDefault="00000000">
      <w:pPr>
        <w:spacing w:after="0" w:line="20" w:lineRule="atLeast"/>
        <w:ind w:firstLine="284"/>
        <w:jc w:val="thaiDistribute"/>
        <w:rPr>
          <w:rFonts w:ascii="TH Sarabun New" w:hAnsi="TH Sarabun New" w:cs="TH Sarabun New"/>
          <w:sz w:val="28"/>
        </w:rPr>
      </w:pPr>
      <w:r>
        <w:rPr>
          <w:rStyle w:val="ContentChar"/>
          <w:rFonts w:hint="cs"/>
          <w:cs/>
        </w:rPr>
        <w:t xml:space="preserve">     </w:t>
      </w:r>
      <w:r>
        <w:rPr>
          <w:rStyle w:val="ContentChar"/>
        </w:rPr>
        <w:t>The target population of this study consists of international communication practices conducted by Chinese local mainstream media toward Southeast Asian countries, particularly through digital platforms, publishing initiatives, and offline exchange activities. This population includes media institutions, official overseas social media accounts, and cultural communication projects operating within the China–ASEAN communication framework.</w:t>
      </w:r>
    </w:p>
    <w:p w14:paraId="3CED591B" w14:textId="77777777" w:rsidR="001D1C02" w:rsidRDefault="00000000">
      <w:pPr>
        <w:spacing w:after="0" w:line="20" w:lineRule="atLeast"/>
        <w:ind w:firstLine="284"/>
        <w:jc w:val="thaiDistribute"/>
        <w:rPr>
          <w:rFonts w:ascii="TH Sarabun New" w:hAnsi="TH Sarabun New" w:cs="TH Sarabun New"/>
          <w:sz w:val="28"/>
        </w:rPr>
      </w:pPr>
      <w:r>
        <w:rPr>
          <w:rFonts w:ascii="TH Sarabun New" w:hAnsi="TH Sarabun New" w:cs="TH Sarabun New" w:hint="cs"/>
          <w:sz w:val="28"/>
          <w:cs/>
        </w:rPr>
        <w:t xml:space="preserve">     </w:t>
      </w:r>
      <w:r>
        <w:rPr>
          <w:rFonts w:ascii="TH Sarabun New" w:hAnsi="TH Sarabun New" w:cs="TH Sarabun New"/>
          <w:sz w:val="28"/>
        </w:rPr>
        <w:t>Given the exploratory and theory-building nature of the study, purposive sampling was employed. Guangxi was selected as the primary case due to its unique geopolitical position as China’s only region with both land and maritime borders with ASEAN countries, as well as its institutionalized international communication platforms such as the China–ASEAN Media Port and the China–ASEAN Information Port. Yunnan’s Myanmar-oriented communication practices were incorporated as a comparative reference case to enhance analytical depth and contextual robustness.</w:t>
      </w:r>
    </w:p>
    <w:p w14:paraId="7880296A" w14:textId="77777777" w:rsidR="001D1C02" w:rsidRDefault="00000000">
      <w:pPr>
        <w:spacing w:after="0" w:line="20" w:lineRule="atLeast"/>
        <w:ind w:firstLine="284"/>
        <w:jc w:val="both"/>
        <w:rPr>
          <w:rStyle w:val="ContentChar"/>
        </w:rPr>
      </w:pPr>
      <w:r>
        <w:rPr>
          <w:rStyle w:val="Level3HeadingsChar"/>
        </w:rPr>
        <w:t>1.2 Samples</w:t>
      </w:r>
      <w:r>
        <w:rPr>
          <w:rFonts w:ascii="TH Sarabun New" w:hAnsi="TH Sarabun New" w:cs="TH Sarabun New"/>
          <w:sz w:val="28"/>
        </w:rPr>
        <w:t xml:space="preserve">: </w:t>
      </w:r>
    </w:p>
    <w:p w14:paraId="67C1AD2F" w14:textId="77777777" w:rsidR="001D1C02" w:rsidRDefault="00000000">
      <w:pPr>
        <w:spacing w:after="0" w:line="20" w:lineRule="atLeast"/>
        <w:ind w:firstLine="284"/>
        <w:jc w:val="both"/>
        <w:rPr>
          <w:rFonts w:ascii="TH Sarabun New" w:hAnsi="TH Sarabun New" w:cs="TH Sarabun New"/>
          <w:sz w:val="28"/>
        </w:rPr>
      </w:pPr>
      <w:r>
        <w:rPr>
          <w:rStyle w:val="ContentChar"/>
          <w:rFonts w:hint="cs"/>
          <w:cs/>
        </w:rPr>
        <w:t xml:space="preserve">     </w:t>
      </w:r>
      <w:r>
        <w:rPr>
          <w:rStyle w:val="ContentChar"/>
        </w:rPr>
        <w:t>The research sample includes:</w:t>
      </w:r>
    </w:p>
    <w:p w14:paraId="0C1DD0A6" w14:textId="77777777" w:rsidR="001D1C02" w:rsidRDefault="00000000">
      <w:pPr>
        <w:spacing w:after="0" w:line="20" w:lineRule="atLeast"/>
        <w:jc w:val="both"/>
        <w:rPr>
          <w:rFonts w:ascii="TH Sarabun New" w:hAnsi="TH Sarabun New" w:cs="TH Sarabun New"/>
          <w:sz w:val="28"/>
        </w:rPr>
      </w:pPr>
      <w:r>
        <w:rPr>
          <w:rFonts w:ascii="TH Sarabun New" w:hAnsi="TH Sarabun New" w:cs="TH Sarabun New" w:hint="cs"/>
          <w:sz w:val="28"/>
          <w:cs/>
        </w:rPr>
        <w:t xml:space="preserve">          </w:t>
      </w:r>
      <w:r>
        <w:rPr>
          <w:rFonts w:ascii="TH Sarabun New" w:hAnsi="TH Sarabun New" w:cs="TH Sarabun New"/>
          <w:sz w:val="28"/>
        </w:rPr>
        <w:t>1) Representative overseas social media accounts operated by Guangxi mainstream media and governmental communication institutions;</w:t>
      </w:r>
    </w:p>
    <w:p w14:paraId="6EDA2B58" w14:textId="77777777" w:rsidR="001D1C02" w:rsidRDefault="00000000">
      <w:pPr>
        <w:spacing w:after="0" w:line="20" w:lineRule="atLeast"/>
        <w:jc w:val="both"/>
        <w:rPr>
          <w:rFonts w:ascii="TH Sarabun New" w:hAnsi="TH Sarabun New" w:cs="TH Sarabun New"/>
          <w:sz w:val="28"/>
        </w:rPr>
      </w:pPr>
      <w:r>
        <w:rPr>
          <w:rFonts w:ascii="TH Sarabun New" w:hAnsi="TH Sarabun New" w:cs="TH Sarabun New" w:hint="cs"/>
          <w:sz w:val="28"/>
          <w:cs/>
        </w:rPr>
        <w:t xml:space="preserve">          </w:t>
      </w:r>
      <w:r>
        <w:rPr>
          <w:rFonts w:ascii="TH Sarabun New" w:hAnsi="TH Sarabun New" w:cs="TH Sarabun New"/>
          <w:sz w:val="28"/>
        </w:rPr>
        <w:t>2) Selected audiovisual productions, short-video content, and multilingual media outputs targeting Thai audiences;</w:t>
      </w:r>
    </w:p>
    <w:p w14:paraId="42BDD444" w14:textId="77777777" w:rsidR="001D1C02" w:rsidRDefault="00000000">
      <w:pPr>
        <w:spacing w:after="0" w:line="20" w:lineRule="atLeast"/>
        <w:jc w:val="both"/>
        <w:rPr>
          <w:rFonts w:ascii="TH Sarabun New" w:hAnsi="TH Sarabun New" w:cs="TH Sarabun New"/>
          <w:sz w:val="28"/>
        </w:rPr>
      </w:pPr>
      <w:r>
        <w:rPr>
          <w:rFonts w:ascii="TH Sarabun New" w:hAnsi="TH Sarabun New" w:cs="TH Sarabun New" w:hint="cs"/>
          <w:sz w:val="28"/>
          <w:cs/>
        </w:rPr>
        <w:t xml:space="preserve">          </w:t>
      </w:r>
      <w:r>
        <w:rPr>
          <w:rFonts w:ascii="TH Sarabun New" w:hAnsi="TH Sarabun New" w:cs="TH Sarabun New"/>
          <w:sz w:val="28"/>
        </w:rPr>
        <w:t>3) Publishing projects, cultural exchange initiatives, and institutional documents related to Thailand-oriented communication;</w:t>
      </w:r>
    </w:p>
    <w:p w14:paraId="078513F1" w14:textId="77777777" w:rsidR="001D1C02" w:rsidRDefault="00000000">
      <w:pPr>
        <w:spacing w:after="0" w:line="20" w:lineRule="atLeast"/>
        <w:jc w:val="both"/>
        <w:rPr>
          <w:rFonts w:ascii="TH Sarabun New" w:hAnsi="TH Sarabun New" w:cs="TH Sarabun New"/>
          <w:sz w:val="28"/>
        </w:rPr>
      </w:pPr>
      <w:r>
        <w:rPr>
          <w:rFonts w:ascii="TH Sarabun New" w:hAnsi="TH Sarabun New" w:cs="TH Sarabun New" w:hint="cs"/>
          <w:sz w:val="28"/>
          <w:cs/>
        </w:rPr>
        <w:t xml:space="preserve">          </w:t>
      </w:r>
      <w:r>
        <w:rPr>
          <w:rFonts w:ascii="TH Sarabun New" w:hAnsi="TH Sarabun New" w:cs="TH Sarabun New"/>
          <w:sz w:val="28"/>
        </w:rPr>
        <w:t>4) Secondary materials on Yunnan’s Myanmar-oriented communication for comparative analysis.</w:t>
      </w:r>
    </w:p>
    <w:p w14:paraId="175AB2DC" w14:textId="77777777" w:rsidR="001D1C02" w:rsidRDefault="00000000">
      <w:pPr>
        <w:spacing w:after="0" w:line="20" w:lineRule="atLeast"/>
        <w:ind w:firstLine="284"/>
        <w:jc w:val="both"/>
        <w:rPr>
          <w:rFonts w:ascii="TH Sarabun New" w:hAnsi="TH Sarabun New" w:cs="TH Sarabun New"/>
          <w:sz w:val="28"/>
        </w:rPr>
      </w:pPr>
      <w:r>
        <w:rPr>
          <w:rFonts w:ascii="TH Sarabun New" w:hAnsi="TH Sarabun New" w:cs="TH Sarabun New"/>
          <w:sz w:val="28"/>
        </w:rPr>
        <w:t>Rather than relying on numerical representativeness, the study emphasizes analytical saturation and thematic relevance, ensuring that sampled materials adequately reflect the structural features and strategic patterns of warm power construction.</w:t>
      </w:r>
    </w:p>
    <w:p w14:paraId="0D8C5F24" w14:textId="77777777" w:rsidR="001D1C02" w:rsidRDefault="00000000">
      <w:pPr>
        <w:pStyle w:val="Level2Headings"/>
      </w:pPr>
      <w:r>
        <w:t>2. Research Instrument</w:t>
      </w:r>
    </w:p>
    <w:p w14:paraId="5D2AAAEA" w14:textId="77777777" w:rsidR="001D1C02" w:rsidRDefault="00000000">
      <w:pPr>
        <w:pStyle w:val="Level2Headings"/>
        <w:rPr>
          <w:b w:val="0"/>
          <w:bCs w:val="0"/>
          <w:i w:val="0"/>
          <w:iCs w:val="0"/>
        </w:rPr>
      </w:pPr>
      <w:r>
        <w:rPr>
          <w:b w:val="0"/>
          <w:bCs w:val="0"/>
          <w:i w:val="0"/>
          <w:iCs w:val="0"/>
        </w:rPr>
        <w:t xml:space="preserve">    The primary research instruments include:</w:t>
      </w:r>
    </w:p>
    <w:p w14:paraId="48EBADBF" w14:textId="77777777" w:rsidR="001D1C02" w:rsidRDefault="00000000">
      <w:pPr>
        <w:pStyle w:val="Level2Headings"/>
        <w:rPr>
          <w:b w:val="0"/>
          <w:bCs w:val="0"/>
        </w:rPr>
      </w:pPr>
      <w:r>
        <w:rPr>
          <w:b w:val="0"/>
          <w:bCs w:val="0"/>
        </w:rPr>
        <w:t xml:space="preserve">    2.1 Qualitative Content Analysis Framework</w:t>
      </w:r>
    </w:p>
    <w:p w14:paraId="147550F4" w14:textId="77777777" w:rsidR="001D1C02" w:rsidRDefault="00000000">
      <w:pPr>
        <w:pStyle w:val="Level2Headings"/>
        <w:rPr>
          <w:b w:val="0"/>
          <w:bCs w:val="0"/>
          <w:i w:val="0"/>
          <w:iCs w:val="0"/>
        </w:rPr>
      </w:pPr>
      <w:r>
        <w:rPr>
          <w:b w:val="0"/>
          <w:bCs w:val="0"/>
          <w:i w:val="0"/>
          <w:iCs w:val="0"/>
        </w:rPr>
        <w:t xml:space="preserve">         A coding framework was developed to analyze narrative themes, emotional orientation, localization strategies, audience segmentation, and interaction modes. Coding categories were derived inductively from the warm power literature and refined through repeated reading of media texts.</w:t>
      </w:r>
    </w:p>
    <w:p w14:paraId="73AF6EF0" w14:textId="77777777" w:rsidR="001D1C02" w:rsidRDefault="00000000">
      <w:pPr>
        <w:pStyle w:val="Level2Headings"/>
        <w:rPr>
          <w:b w:val="0"/>
          <w:bCs w:val="0"/>
        </w:rPr>
      </w:pPr>
      <w:r>
        <w:rPr>
          <w:b w:val="0"/>
          <w:bCs w:val="0"/>
        </w:rPr>
        <w:t xml:space="preserve">    2.2 Document Analysis Protocol</w:t>
      </w:r>
    </w:p>
    <w:p w14:paraId="2C3FE646" w14:textId="77777777" w:rsidR="001D1C02" w:rsidRDefault="00000000">
      <w:pPr>
        <w:pStyle w:val="Level2Headings"/>
        <w:rPr>
          <w:b w:val="0"/>
          <w:bCs w:val="0"/>
          <w:i w:val="0"/>
          <w:iCs w:val="0"/>
        </w:rPr>
      </w:pPr>
      <w:r>
        <w:rPr>
          <w:b w:val="0"/>
          <w:bCs w:val="0"/>
          <w:i w:val="0"/>
          <w:iCs w:val="0"/>
        </w:rPr>
        <w:t xml:space="preserve">         Policy documents, institutional reports, project descriptions, and official media releases were analyzed to identify strategic objectives, organizational coordination mechanisms, and institutional support structures underlying international communication practices.</w:t>
      </w:r>
    </w:p>
    <w:p w14:paraId="2A71D34A" w14:textId="77777777" w:rsidR="001D1C02" w:rsidRDefault="00000000">
      <w:pPr>
        <w:pStyle w:val="Level2Headings"/>
        <w:rPr>
          <w:b w:val="0"/>
          <w:bCs w:val="0"/>
        </w:rPr>
      </w:pPr>
      <w:r>
        <w:rPr>
          <w:b w:val="0"/>
          <w:bCs w:val="0"/>
        </w:rPr>
        <w:t xml:space="preserve">    2.3 Comparative Analytical Matrix</w:t>
      </w:r>
    </w:p>
    <w:p w14:paraId="6BC378C6" w14:textId="77777777" w:rsidR="001D1C02" w:rsidRDefault="00000000">
      <w:pPr>
        <w:pStyle w:val="Level2Headings"/>
        <w:rPr>
          <w:b w:val="0"/>
          <w:bCs w:val="0"/>
          <w:i w:val="0"/>
          <w:iCs w:val="0"/>
        </w:rPr>
      </w:pPr>
      <w:r>
        <w:rPr>
          <w:b w:val="0"/>
          <w:bCs w:val="0"/>
          <w:i w:val="0"/>
          <w:iCs w:val="0"/>
        </w:rPr>
        <w:t xml:space="preserve">         A structured comparison matrix was used to contrast Guangxi–Thailand and Yunnan–Myanmar communication practices across dimensions such as platform use, narrative localization, affective interaction, and ecosystem construction.</w:t>
      </w:r>
    </w:p>
    <w:p w14:paraId="44FD3B4A" w14:textId="77777777" w:rsidR="001D1C02" w:rsidRDefault="00000000">
      <w:pPr>
        <w:pStyle w:val="Level2Headings"/>
        <w:ind w:firstLine="240"/>
      </w:pPr>
      <w:r>
        <w:rPr>
          <w:b w:val="0"/>
          <w:bCs w:val="0"/>
          <w:i w:val="0"/>
          <w:iCs w:val="0"/>
        </w:rPr>
        <w:lastRenderedPageBreak/>
        <w:t>To enhance validity, the study employed data triangulation across platforms, media forms, and institutional levels. Reliability was strengthened through iterative coding, category refinement, and consistency checks across data sources.</w:t>
      </w:r>
    </w:p>
    <w:p w14:paraId="41D86D5C" w14:textId="77777777" w:rsidR="001D1C02" w:rsidRDefault="00000000">
      <w:pPr>
        <w:pStyle w:val="Level2Headings"/>
      </w:pPr>
      <w:r>
        <w:t>3. Collection of Data</w:t>
      </w:r>
    </w:p>
    <w:p w14:paraId="26E83658" w14:textId="77777777" w:rsidR="001D1C02" w:rsidRDefault="00000000">
      <w:pPr>
        <w:pStyle w:val="Level2Headings"/>
        <w:jc w:val="thaiDistribute"/>
        <w:rPr>
          <w:b w:val="0"/>
          <w:bCs w:val="0"/>
          <w:i w:val="0"/>
          <w:iCs w:val="0"/>
        </w:rPr>
      </w:pPr>
      <w:r>
        <w:rPr>
          <w:b w:val="0"/>
          <w:bCs w:val="0"/>
        </w:rPr>
        <w:t xml:space="preserve">    </w:t>
      </w:r>
      <w:r>
        <w:rPr>
          <w:b w:val="0"/>
          <w:bCs w:val="0"/>
          <w:i w:val="0"/>
          <w:iCs w:val="0"/>
        </w:rPr>
        <w:t>Data were collected over a continuous observation period spanning multiple stages of Guangxi’s Thailand-oriented international communication development. Materials were gathered from:</w:t>
      </w:r>
    </w:p>
    <w:p w14:paraId="3579923B" w14:textId="77777777" w:rsidR="001D1C02" w:rsidRDefault="00000000">
      <w:pPr>
        <w:pStyle w:val="Level2Headings"/>
        <w:rPr>
          <w:b w:val="0"/>
          <w:bCs w:val="0"/>
          <w:i w:val="0"/>
          <w:iCs w:val="0"/>
        </w:rPr>
      </w:pPr>
      <w:r>
        <w:rPr>
          <w:b w:val="0"/>
          <w:bCs w:val="0"/>
        </w:rPr>
        <w:t xml:space="preserve">    </w:t>
      </w:r>
      <w:r>
        <w:rPr>
          <w:b w:val="0"/>
          <w:bCs w:val="0"/>
          <w:i w:val="0"/>
          <w:iCs w:val="0"/>
        </w:rPr>
        <w:t>3.1 Official overseas social media platforms (e.g., Facebook, YouTube, TikTok);</w:t>
      </w:r>
    </w:p>
    <w:p w14:paraId="13EBA71F" w14:textId="77777777" w:rsidR="001D1C02" w:rsidRDefault="00000000">
      <w:pPr>
        <w:pStyle w:val="Level2Headings"/>
        <w:rPr>
          <w:b w:val="0"/>
          <w:bCs w:val="0"/>
          <w:i w:val="0"/>
          <w:iCs w:val="0"/>
        </w:rPr>
      </w:pPr>
      <w:r>
        <w:rPr>
          <w:b w:val="0"/>
          <w:bCs w:val="0"/>
        </w:rPr>
        <w:t xml:space="preserve">    </w:t>
      </w:r>
      <w:r>
        <w:rPr>
          <w:b w:val="0"/>
          <w:bCs w:val="0"/>
          <w:i w:val="0"/>
          <w:iCs w:val="0"/>
        </w:rPr>
        <w:t>3.2 Published audiovisual content and multilingual media products;</w:t>
      </w:r>
    </w:p>
    <w:p w14:paraId="527700E4" w14:textId="77777777" w:rsidR="001D1C02" w:rsidRDefault="00000000">
      <w:pPr>
        <w:pStyle w:val="Level2Headings"/>
        <w:rPr>
          <w:b w:val="0"/>
          <w:bCs w:val="0"/>
          <w:i w:val="0"/>
          <w:iCs w:val="0"/>
        </w:rPr>
      </w:pPr>
      <w:r>
        <w:rPr>
          <w:b w:val="0"/>
          <w:bCs w:val="0"/>
        </w:rPr>
        <w:t xml:space="preserve">    </w:t>
      </w:r>
      <w:r>
        <w:rPr>
          <w:b w:val="0"/>
          <w:bCs w:val="0"/>
          <w:i w:val="0"/>
          <w:iCs w:val="0"/>
        </w:rPr>
        <w:t>3.3 Publishing projects, cultural exchange records, and institutional reports;</w:t>
      </w:r>
    </w:p>
    <w:p w14:paraId="3A6A003F" w14:textId="77777777" w:rsidR="001D1C02" w:rsidRDefault="00000000">
      <w:pPr>
        <w:pStyle w:val="Level2Headings"/>
        <w:rPr>
          <w:b w:val="0"/>
          <w:bCs w:val="0"/>
          <w:i w:val="0"/>
          <w:iCs w:val="0"/>
        </w:rPr>
      </w:pPr>
      <w:r>
        <w:rPr>
          <w:b w:val="0"/>
          <w:bCs w:val="0"/>
        </w:rPr>
        <w:t xml:space="preserve">    </w:t>
      </w:r>
      <w:r>
        <w:rPr>
          <w:b w:val="0"/>
          <w:bCs w:val="0"/>
          <w:i w:val="0"/>
          <w:iCs w:val="0"/>
        </w:rPr>
        <w:t>3.4 Publicly accessible secondary literature and media analyses on Yunnan’s Myanmar-oriented communication.</w:t>
      </w:r>
    </w:p>
    <w:p w14:paraId="0F984D6D" w14:textId="77777777" w:rsidR="001D1C02" w:rsidRDefault="00000000">
      <w:pPr>
        <w:pStyle w:val="Level2Headings"/>
        <w:ind w:firstLine="240"/>
        <w:rPr>
          <w:b w:val="0"/>
          <w:bCs w:val="0"/>
          <w:i w:val="0"/>
          <w:iCs w:val="0"/>
        </w:rPr>
      </w:pPr>
      <w:r>
        <w:rPr>
          <w:b w:val="0"/>
          <w:bCs w:val="0"/>
          <w:i w:val="0"/>
          <w:iCs w:val="0"/>
        </w:rPr>
        <w:t>Data collection followed a non-interventionist approach, focusing on naturally occurring communication practices and publicly available materials. The duration and longitudinal scope of data gathering enabled the identification of both short-term interaction patterns and longer-term affective relationship formation.</w:t>
      </w:r>
    </w:p>
    <w:p w14:paraId="60DF0E96" w14:textId="77777777" w:rsidR="001D1C02" w:rsidRDefault="00000000">
      <w:pPr>
        <w:pStyle w:val="Level2Headings"/>
      </w:pPr>
      <w:r>
        <w:t xml:space="preserve">4. Ethical Approval </w:t>
      </w:r>
    </w:p>
    <w:p w14:paraId="683F6EFA" w14:textId="77777777" w:rsidR="001D1C02" w:rsidRDefault="00000000">
      <w:pPr>
        <w:spacing w:after="0" w:line="20" w:lineRule="atLeast"/>
        <w:jc w:val="both"/>
        <w:rPr>
          <w:rFonts w:ascii="TH Sarabun New" w:hAnsi="TH Sarabun New" w:cs="TH Sarabun New"/>
          <w:sz w:val="28"/>
        </w:rPr>
      </w:pPr>
      <w:r>
        <w:rPr>
          <w:b/>
          <w:bCs/>
        </w:rPr>
        <w:t xml:space="preserve">    </w:t>
      </w:r>
      <w:r>
        <w:rPr>
          <w:rFonts w:ascii="TH Sarabun New" w:hAnsi="TH Sarabun New" w:cs="TH Sarabun New"/>
          <w:sz w:val="28"/>
        </w:rPr>
        <w:t>This study does not involve direct interaction with human subjects, personal data collection, or experimental manipulation. All analyzed materials are derived from publicly accessible media content, official documents, and institutional publications. Therefore, formal ethical approval was not required. Nevertheless, the research adheres to established academic ethical standards, including responsible data use, accurate representation, and proper attribution of sources.</w:t>
      </w:r>
    </w:p>
    <w:p w14:paraId="64914888" w14:textId="77777777" w:rsidR="001D1C02" w:rsidRDefault="001D1C02">
      <w:pPr>
        <w:pStyle w:val="Section"/>
      </w:pPr>
    </w:p>
    <w:p w14:paraId="34986FD6" w14:textId="77777777" w:rsidR="001D1C02" w:rsidRDefault="00000000">
      <w:pPr>
        <w:pStyle w:val="Section"/>
      </w:pPr>
      <w:r>
        <w:t>RESULTS</w:t>
      </w:r>
    </w:p>
    <w:p w14:paraId="570723D5" w14:textId="77777777" w:rsidR="001D1C02" w:rsidRDefault="00000000">
      <w:pPr>
        <w:pStyle w:val="Content"/>
        <w:rPr>
          <w:b/>
          <w:bCs/>
        </w:rPr>
      </w:pPr>
      <w:r>
        <w:rPr>
          <w:b/>
          <w:bCs/>
        </w:rPr>
        <w:t>Ecological Landscape: From Fragmented Actors to an Empathy Network</w:t>
      </w:r>
    </w:p>
    <w:p w14:paraId="47F679F8" w14:textId="77777777" w:rsidR="001D1C02" w:rsidRDefault="00000000">
      <w:pPr>
        <w:pStyle w:val="Content"/>
      </w:pPr>
      <w:r>
        <w:t>Guangxi’s international communication toward Thailand has evolved into a multi-layered warm power ecosystem characterized by coordinated actors, platform-based audience reach, and deep cultural carriers. Rather than relying on isolated media outputs, this ecosystem integrates strategic coordination, overseas social media matrices, publishing-based cultural depth, and inward-oriented services into an internally coherent empathy network. Comparable developments in Yunnan’s Myanmar-oriented communication—marked by multilingual platforms, segmented audiences, and localized interaction—further indicate a shared trajectory among Chinese local media toward Southeast Asia.</w:t>
      </w:r>
    </w:p>
    <w:p w14:paraId="55B205E5" w14:textId="77777777" w:rsidR="001D1C02" w:rsidRDefault="00000000">
      <w:pPr>
        <w:pStyle w:val="Content"/>
        <w:rPr>
          <w:b/>
          <w:bCs/>
          <w:i/>
          <w:iCs/>
        </w:rPr>
      </w:pPr>
      <w:r>
        <w:rPr>
          <w:b/>
          <w:bCs/>
          <w:i/>
          <w:iCs/>
        </w:rPr>
        <w:t>1) From Media-Driven Operations to Strategic Hub Coordination</w:t>
      </w:r>
    </w:p>
    <w:p w14:paraId="29990420" w14:textId="77777777" w:rsidR="001D1C02" w:rsidRDefault="00000000">
      <w:pPr>
        <w:pStyle w:val="Content"/>
      </w:pPr>
      <w:r>
        <w:t>In its initial stage, Guangxi’s Thailand-oriented communication was dominated by parallel operations of provincial mainstream media, including Guangxi Radio and Television Station and Guangxi Daily. These actors launched international channels and overseas social media accounts such as GXRTV Int’l Channel and Beautiful Guangxi, accumulating practical experience but lacking systemic coordination (Mo &amp; Gao, 2025). Fragmentation limited brand coherence and affective accumulation.</w:t>
      </w:r>
    </w:p>
    <w:p w14:paraId="6E40029C" w14:textId="77777777" w:rsidR="001D1C02" w:rsidRDefault="00000000">
      <w:pPr>
        <w:pStyle w:val="Content"/>
      </w:pPr>
      <w:r>
        <w:t xml:space="preserve">The establishment of the Guangxi International Communication Center in 2024 marked a shift toward systematized coordination. Led by the Publicity Department of the Guangxi Zhuang Autonomous Region Party Committee and jointly operated by major provincial media, the Center functions as a strategic hub for ASEAN-oriented communication. By integrating resources, aligning narratives, and cultivating flagship brands such as Hello Guangxi and Splendors of Guangxi, it transformed fragmented outputs into coordinated brand-based communication (Wei, 2024). This hub model </w:t>
      </w:r>
      <w:r>
        <w:lastRenderedPageBreak/>
        <w:t>parallels Yunnan’s integration of provincial media resources and reflects a shared trend toward centralized coordination in regional warm power construction.</w:t>
      </w:r>
    </w:p>
    <w:p w14:paraId="28B10359" w14:textId="77777777" w:rsidR="001D1C02" w:rsidRDefault="00000000">
      <w:pPr>
        <w:pStyle w:val="Content"/>
        <w:rPr>
          <w:b/>
          <w:bCs/>
          <w:i/>
          <w:iCs/>
        </w:rPr>
      </w:pPr>
      <w:r>
        <w:rPr>
          <w:b/>
          <w:bCs/>
          <w:i/>
          <w:iCs/>
        </w:rPr>
        <w:t>2) Overseas Social Media Matrices as Precision Affective Frontiers</w:t>
      </w:r>
    </w:p>
    <w:p w14:paraId="29DA3DBB" w14:textId="77777777" w:rsidR="001D1C02" w:rsidRDefault="00000000">
      <w:pPr>
        <w:pStyle w:val="Content"/>
      </w:pPr>
      <w:r>
        <w:t>Under strategic coordination, Guangxi has constructed a diversified overseas social media matrix serving as the primary frontier for affective outreach. Rather than operating as isolated accounts, the matrix aligns platform affordances with audience segmentation, covering Thai audiences’ information, entertainment, and social interaction needs (see Table 1). Platforms such as Facebook and YouTube emphasize news, culture, and interaction, while TikTok prioritizes light, youth-oriented short videos, ensuring both breadth and emotional immediacy.</w:t>
      </w:r>
    </w:p>
    <w:p w14:paraId="347F04F4" w14:textId="77777777" w:rsidR="001D1C02" w:rsidRDefault="00000000">
      <w:pPr>
        <w:pStyle w:val="Content"/>
      </w:pPr>
      <w:r>
        <w:t xml:space="preserve">Yunnan has developed a similar yet contextually adapted model through Burmese-language accounts on YouTube, TikTok, and X, targeting Myanmar audiences with localized content. Together, these cases confirm the effectiveness of platform-based segmentation as a tactical foundation for warm power diffusion. </w:t>
      </w:r>
    </w:p>
    <w:p w14:paraId="07EDCC33" w14:textId="77777777" w:rsidR="001D1C02" w:rsidRDefault="001D1C02">
      <w:pPr>
        <w:pStyle w:val="Content"/>
      </w:pPr>
    </w:p>
    <w:p w14:paraId="48BF85E9" w14:textId="77777777" w:rsidR="001D1C02" w:rsidRDefault="00000000">
      <w:pPr>
        <w:pStyle w:val="FigureTableCaption"/>
      </w:pPr>
      <w:r>
        <w:t xml:space="preserve">Table 1: Core Overseas Social Media Platform Matrix of Guangxi Mainstream Media </w:t>
      </w:r>
    </w:p>
    <w:tbl>
      <w:tblPr>
        <w:tblStyle w:val="TableGrid"/>
        <w:tblW w:w="0" w:type="auto"/>
        <w:tblLook w:val="04A0" w:firstRow="1" w:lastRow="0" w:firstColumn="1" w:lastColumn="0" w:noHBand="0" w:noVBand="1"/>
      </w:tblPr>
      <w:tblGrid>
        <w:gridCol w:w="1120"/>
        <w:gridCol w:w="1359"/>
        <w:gridCol w:w="1362"/>
        <w:gridCol w:w="1128"/>
        <w:gridCol w:w="4659"/>
      </w:tblGrid>
      <w:tr w:rsidR="001D1C02" w14:paraId="4DAA9142" w14:textId="77777777">
        <w:tc>
          <w:tcPr>
            <w:tcW w:w="1120" w:type="dxa"/>
          </w:tcPr>
          <w:p w14:paraId="76811D20" w14:textId="77777777" w:rsidR="001D1C02" w:rsidRDefault="00000000">
            <w:pPr>
              <w:spacing w:after="0" w:line="20" w:lineRule="atLeast"/>
              <w:jc w:val="center"/>
              <w:rPr>
                <w:rFonts w:ascii="TH SarabunPSK" w:hAnsi="TH SarabunPSK" w:cs="TH SarabunPSK"/>
                <w:b/>
                <w:bCs/>
                <w:sz w:val="24"/>
                <w:szCs w:val="24"/>
              </w:rPr>
            </w:pPr>
            <w:r>
              <w:rPr>
                <w:rFonts w:ascii="TH SarabunPSK" w:hAnsi="TH SarabunPSK" w:cs="TH SarabunPSK" w:hint="cs"/>
                <w:b/>
                <w:bCs/>
                <w:sz w:val="24"/>
                <w:szCs w:val="24"/>
              </w:rPr>
              <w:t>Platform</w:t>
            </w:r>
          </w:p>
        </w:tc>
        <w:tc>
          <w:tcPr>
            <w:tcW w:w="1359" w:type="dxa"/>
          </w:tcPr>
          <w:p w14:paraId="52473A87" w14:textId="77777777" w:rsidR="001D1C02" w:rsidRDefault="00000000">
            <w:pPr>
              <w:spacing w:after="0" w:line="20" w:lineRule="atLeast"/>
              <w:jc w:val="center"/>
              <w:rPr>
                <w:rFonts w:ascii="TH SarabunPSK" w:hAnsi="TH SarabunPSK" w:cs="TH SarabunPSK"/>
                <w:b/>
                <w:bCs/>
                <w:sz w:val="24"/>
                <w:szCs w:val="24"/>
              </w:rPr>
            </w:pPr>
            <w:r>
              <w:rPr>
                <w:rFonts w:ascii="TH SarabunPSK" w:hAnsi="TH SarabunPSK" w:cs="TH SarabunPSK" w:hint="cs"/>
                <w:b/>
                <w:bCs/>
                <w:sz w:val="24"/>
                <w:szCs w:val="24"/>
              </w:rPr>
              <w:t>Representative Account</w:t>
            </w:r>
          </w:p>
        </w:tc>
        <w:tc>
          <w:tcPr>
            <w:tcW w:w="1362" w:type="dxa"/>
          </w:tcPr>
          <w:p w14:paraId="119D2816" w14:textId="77777777" w:rsidR="001D1C02" w:rsidRDefault="00000000">
            <w:pPr>
              <w:spacing w:after="0" w:line="20" w:lineRule="atLeast"/>
              <w:jc w:val="center"/>
              <w:rPr>
                <w:rFonts w:ascii="TH SarabunPSK" w:hAnsi="TH SarabunPSK" w:cs="TH SarabunPSK"/>
                <w:b/>
                <w:bCs/>
                <w:sz w:val="24"/>
                <w:szCs w:val="24"/>
              </w:rPr>
            </w:pPr>
            <w:r>
              <w:rPr>
                <w:rFonts w:ascii="TH SarabunPSK" w:hAnsi="TH SarabunPSK" w:cs="TH SarabunPSK" w:hint="cs"/>
                <w:b/>
                <w:bCs/>
                <w:sz w:val="24"/>
                <w:szCs w:val="24"/>
              </w:rPr>
              <w:t>Operating Institution</w:t>
            </w:r>
          </w:p>
        </w:tc>
        <w:tc>
          <w:tcPr>
            <w:tcW w:w="1128" w:type="dxa"/>
          </w:tcPr>
          <w:p w14:paraId="55177BB4" w14:textId="77777777" w:rsidR="001D1C02" w:rsidRDefault="00000000">
            <w:pPr>
              <w:spacing w:after="0" w:line="20" w:lineRule="atLeast"/>
              <w:jc w:val="center"/>
              <w:rPr>
                <w:rFonts w:ascii="TH SarabunPSK" w:hAnsi="TH SarabunPSK" w:cs="TH SarabunPSK"/>
                <w:b/>
                <w:bCs/>
                <w:sz w:val="24"/>
                <w:szCs w:val="24"/>
              </w:rPr>
            </w:pPr>
            <w:r>
              <w:rPr>
                <w:rFonts w:ascii="TH SarabunPSK" w:hAnsi="TH SarabunPSK" w:cs="TH SarabunPSK" w:hint="cs"/>
                <w:b/>
                <w:bCs/>
                <w:sz w:val="24"/>
                <w:szCs w:val="24"/>
              </w:rPr>
              <w:t>Main Languages</w:t>
            </w:r>
          </w:p>
        </w:tc>
        <w:tc>
          <w:tcPr>
            <w:tcW w:w="4659" w:type="dxa"/>
          </w:tcPr>
          <w:p w14:paraId="00F18C93" w14:textId="77777777" w:rsidR="001D1C02" w:rsidRDefault="00000000">
            <w:pPr>
              <w:spacing w:after="0" w:line="20" w:lineRule="atLeast"/>
              <w:jc w:val="center"/>
              <w:rPr>
                <w:rFonts w:ascii="TH SarabunPSK" w:hAnsi="TH SarabunPSK" w:cs="TH SarabunPSK"/>
                <w:b/>
                <w:bCs/>
                <w:sz w:val="24"/>
                <w:szCs w:val="24"/>
              </w:rPr>
            </w:pPr>
            <w:r>
              <w:rPr>
                <w:rFonts w:ascii="TH SarabunPSK" w:hAnsi="TH SarabunPSK" w:cs="TH SarabunPSK" w:hint="cs"/>
                <w:b/>
                <w:bCs/>
                <w:sz w:val="24"/>
                <w:szCs w:val="24"/>
              </w:rPr>
              <w:t>Functional Positioning and the Manifestation of </w:t>
            </w:r>
            <w:r>
              <w:rPr>
                <w:rFonts w:ascii="TH SarabunPSK" w:hAnsi="TH SarabunPSK" w:cs="TH SarabunPSK" w:hint="cs"/>
                <w:b/>
                <w:bCs/>
                <w:i/>
                <w:iCs/>
                <w:sz w:val="24"/>
                <w:szCs w:val="24"/>
              </w:rPr>
              <w:t>Warm Power</w:t>
            </w:r>
          </w:p>
        </w:tc>
      </w:tr>
      <w:tr w:rsidR="001D1C02" w14:paraId="72040016" w14:textId="77777777">
        <w:tc>
          <w:tcPr>
            <w:tcW w:w="1120" w:type="dxa"/>
            <w:vAlign w:val="center"/>
          </w:tcPr>
          <w:p w14:paraId="2393711D" w14:textId="77777777" w:rsidR="001D1C02" w:rsidRDefault="00000000">
            <w:pPr>
              <w:spacing w:after="0" w:line="20" w:lineRule="atLeast"/>
              <w:jc w:val="center"/>
              <w:rPr>
                <w:rFonts w:ascii="TH SarabunPSK" w:hAnsi="TH SarabunPSK" w:cs="TH SarabunPSK"/>
                <w:sz w:val="24"/>
                <w:szCs w:val="24"/>
              </w:rPr>
            </w:pPr>
            <w:r>
              <w:rPr>
                <w:rFonts w:ascii="TH Sarabun New" w:hAnsi="TH Sarabun New" w:cs="TH Sarabun New"/>
                <w:sz w:val="24"/>
                <w:szCs w:val="24"/>
              </w:rPr>
              <w:t>Facebook / YouTube</w:t>
            </w:r>
          </w:p>
        </w:tc>
        <w:tc>
          <w:tcPr>
            <w:tcW w:w="1359" w:type="dxa"/>
            <w:vAlign w:val="center"/>
          </w:tcPr>
          <w:p w14:paraId="6A672632" w14:textId="77777777" w:rsidR="001D1C02" w:rsidRDefault="00000000">
            <w:pPr>
              <w:spacing w:after="0" w:line="20" w:lineRule="atLeast"/>
              <w:jc w:val="center"/>
              <w:rPr>
                <w:rFonts w:ascii="TH SarabunPSK" w:hAnsi="TH SarabunPSK" w:cs="TH SarabunPSK"/>
                <w:sz w:val="24"/>
                <w:szCs w:val="24"/>
              </w:rPr>
            </w:pPr>
            <w:r>
              <w:rPr>
                <w:rFonts w:ascii="TH Sarabun New" w:hAnsi="TH Sarabun New" w:cs="TH Sarabun New"/>
                <w:sz w:val="24"/>
                <w:szCs w:val="24"/>
              </w:rPr>
              <w:t>Hello Guangxi</w:t>
            </w:r>
          </w:p>
        </w:tc>
        <w:tc>
          <w:tcPr>
            <w:tcW w:w="1362" w:type="dxa"/>
            <w:vAlign w:val="center"/>
          </w:tcPr>
          <w:p w14:paraId="12314301" w14:textId="77777777" w:rsidR="001D1C02" w:rsidRDefault="00000000">
            <w:pPr>
              <w:spacing w:after="0" w:line="20" w:lineRule="atLeast"/>
              <w:jc w:val="center"/>
              <w:rPr>
                <w:rFonts w:ascii="TH SarabunPSK" w:hAnsi="TH SarabunPSK" w:cs="TH SarabunPSK"/>
                <w:sz w:val="24"/>
                <w:szCs w:val="24"/>
              </w:rPr>
            </w:pPr>
            <w:r>
              <w:rPr>
                <w:rFonts w:ascii="TH Sarabun New" w:hAnsi="TH Sarabun New" w:cs="TH Sarabun New"/>
                <w:sz w:val="24"/>
                <w:szCs w:val="24"/>
              </w:rPr>
              <w:t>Guangxi International Communication Center</w:t>
            </w:r>
          </w:p>
        </w:tc>
        <w:tc>
          <w:tcPr>
            <w:tcW w:w="1128" w:type="dxa"/>
            <w:vAlign w:val="center"/>
          </w:tcPr>
          <w:p w14:paraId="06E433FD" w14:textId="77777777" w:rsidR="001D1C02" w:rsidRDefault="00000000">
            <w:pPr>
              <w:spacing w:after="0" w:line="20" w:lineRule="atLeast"/>
              <w:jc w:val="center"/>
              <w:rPr>
                <w:rFonts w:ascii="TH SarabunPSK" w:hAnsi="TH SarabunPSK" w:cs="TH SarabunPSK"/>
                <w:sz w:val="24"/>
                <w:szCs w:val="24"/>
              </w:rPr>
            </w:pPr>
            <w:r>
              <w:rPr>
                <w:rFonts w:ascii="TH Sarabun New" w:hAnsi="TH Sarabun New" w:cs="TH Sarabun New"/>
                <w:sz w:val="24"/>
                <w:szCs w:val="24"/>
              </w:rPr>
              <w:t>English, Vietnamese</w:t>
            </w:r>
          </w:p>
        </w:tc>
        <w:tc>
          <w:tcPr>
            <w:tcW w:w="4659" w:type="dxa"/>
            <w:vAlign w:val="center"/>
          </w:tcPr>
          <w:p w14:paraId="7BAB3458" w14:textId="77777777" w:rsidR="001D1C02" w:rsidRDefault="00000000">
            <w:pPr>
              <w:spacing w:after="0" w:line="20" w:lineRule="atLeast"/>
              <w:jc w:val="center"/>
              <w:rPr>
                <w:rFonts w:ascii="TH SarabunPSK" w:hAnsi="TH SarabunPSK" w:cs="TH SarabunPSK"/>
                <w:sz w:val="24"/>
                <w:szCs w:val="24"/>
              </w:rPr>
            </w:pPr>
            <w:r>
              <w:rPr>
                <w:rFonts w:ascii="TH Sarabun New" w:hAnsi="TH Sarabun New" w:cs="TH Sarabun New"/>
                <w:sz w:val="24"/>
                <w:szCs w:val="24"/>
              </w:rPr>
              <w:t>A comprehensive display and in-depth interaction platform. It disseminates news, culture and tourism, and people-centered stories, while fostering everyday affective connections through comments, livestreaming, and community engagement.</w:t>
            </w:r>
          </w:p>
        </w:tc>
      </w:tr>
      <w:tr w:rsidR="001D1C02" w14:paraId="1EC6B16D" w14:textId="77777777">
        <w:tc>
          <w:tcPr>
            <w:tcW w:w="1120" w:type="dxa"/>
            <w:vAlign w:val="center"/>
          </w:tcPr>
          <w:p w14:paraId="1E845065" w14:textId="77777777" w:rsidR="001D1C02" w:rsidRDefault="00000000">
            <w:pPr>
              <w:spacing w:after="0" w:line="20" w:lineRule="atLeast"/>
              <w:rPr>
                <w:rFonts w:ascii="TH SarabunPSK" w:hAnsi="TH SarabunPSK" w:cs="TH SarabunPSK"/>
                <w:sz w:val="24"/>
                <w:szCs w:val="24"/>
              </w:rPr>
            </w:pPr>
            <w:r>
              <w:rPr>
                <w:rFonts w:ascii="TH Sarabun New" w:hAnsi="TH Sarabun New" w:cs="TH Sarabun New"/>
                <w:sz w:val="24"/>
                <w:szCs w:val="24"/>
              </w:rPr>
              <w:t>YouTube / Facebook / Instagram / TikTok / X (Twitter)</w:t>
            </w:r>
          </w:p>
        </w:tc>
        <w:tc>
          <w:tcPr>
            <w:tcW w:w="1359" w:type="dxa"/>
            <w:vAlign w:val="center"/>
          </w:tcPr>
          <w:p w14:paraId="550CE4AB" w14:textId="77777777" w:rsidR="001D1C02" w:rsidRDefault="00000000">
            <w:pPr>
              <w:spacing w:after="0" w:line="20" w:lineRule="atLeast"/>
              <w:jc w:val="center"/>
              <w:rPr>
                <w:rFonts w:ascii="TH SarabunPSK" w:hAnsi="TH SarabunPSK" w:cs="TH SarabunPSK"/>
                <w:sz w:val="24"/>
                <w:szCs w:val="24"/>
              </w:rPr>
            </w:pPr>
            <w:r>
              <w:rPr>
                <w:rFonts w:ascii="TH Sarabun New" w:hAnsi="TH Sarabun New" w:cs="TH Sarabun New"/>
                <w:sz w:val="24"/>
                <w:szCs w:val="24"/>
              </w:rPr>
              <w:t>Discover Guangxi</w:t>
            </w:r>
          </w:p>
        </w:tc>
        <w:tc>
          <w:tcPr>
            <w:tcW w:w="1362" w:type="dxa"/>
            <w:vAlign w:val="center"/>
          </w:tcPr>
          <w:p w14:paraId="6AAD53E1" w14:textId="77777777" w:rsidR="001D1C02" w:rsidRDefault="00000000">
            <w:pPr>
              <w:spacing w:after="0" w:line="20" w:lineRule="atLeast"/>
              <w:jc w:val="center"/>
              <w:rPr>
                <w:rFonts w:ascii="TH SarabunPSK" w:hAnsi="TH SarabunPSK" w:cs="TH SarabunPSK"/>
                <w:sz w:val="24"/>
                <w:szCs w:val="24"/>
              </w:rPr>
            </w:pPr>
            <w:r>
              <w:rPr>
                <w:rFonts w:ascii="TH Sarabun New" w:hAnsi="TH Sarabun New" w:cs="TH Sarabun New"/>
                <w:sz w:val="24"/>
                <w:szCs w:val="24"/>
              </w:rPr>
              <w:t>Guangxi Zhuang Autonomous Region Department of Culture and Tourism</w:t>
            </w:r>
          </w:p>
        </w:tc>
        <w:tc>
          <w:tcPr>
            <w:tcW w:w="1128" w:type="dxa"/>
            <w:vAlign w:val="center"/>
          </w:tcPr>
          <w:p w14:paraId="1677BDD3" w14:textId="77777777" w:rsidR="001D1C02" w:rsidRDefault="00000000">
            <w:pPr>
              <w:spacing w:after="0" w:line="20" w:lineRule="atLeast"/>
              <w:jc w:val="center"/>
              <w:rPr>
                <w:rFonts w:ascii="TH SarabunPSK" w:hAnsi="TH SarabunPSK" w:cs="TH SarabunPSK"/>
                <w:sz w:val="24"/>
                <w:szCs w:val="24"/>
              </w:rPr>
            </w:pPr>
            <w:r>
              <w:rPr>
                <w:rFonts w:ascii="TH Sarabun New" w:hAnsi="TH Sarabun New" w:cs="TH Sarabun New"/>
                <w:sz w:val="24"/>
                <w:szCs w:val="24"/>
              </w:rPr>
              <w:t>English, Thai, Lao, Vietnamese, Khmer, Burmese, Indonesian, etc.</w:t>
            </w:r>
          </w:p>
        </w:tc>
        <w:tc>
          <w:tcPr>
            <w:tcW w:w="4659" w:type="dxa"/>
            <w:vAlign w:val="center"/>
          </w:tcPr>
          <w:p w14:paraId="0ABA0E63" w14:textId="77777777" w:rsidR="001D1C02" w:rsidRDefault="00000000">
            <w:pPr>
              <w:spacing w:after="0" w:line="20" w:lineRule="atLeast"/>
              <w:jc w:val="center"/>
              <w:rPr>
                <w:rFonts w:ascii="TH SarabunPSK" w:hAnsi="TH SarabunPSK" w:cs="TH SarabunPSK"/>
                <w:sz w:val="24"/>
                <w:szCs w:val="24"/>
              </w:rPr>
            </w:pPr>
            <w:r>
              <w:rPr>
                <w:rFonts w:ascii="TH Sarabun New" w:hAnsi="TH Sarabun New" w:cs="TH Sarabun New"/>
                <w:sz w:val="24"/>
                <w:szCs w:val="24"/>
              </w:rPr>
              <w:t>A youth-oriented empathy space. By employing creative, fashionable, and light-hearted short videos, the account reaches ASEAN youth audiences and stimulates affective resonance through the language of popular culture.</w:t>
            </w:r>
          </w:p>
        </w:tc>
      </w:tr>
      <w:tr w:rsidR="001D1C02" w14:paraId="53ED8F59" w14:textId="77777777">
        <w:tc>
          <w:tcPr>
            <w:tcW w:w="1120" w:type="dxa"/>
            <w:vAlign w:val="center"/>
          </w:tcPr>
          <w:p w14:paraId="479164AF" w14:textId="77777777" w:rsidR="001D1C02" w:rsidRDefault="00000000">
            <w:pPr>
              <w:spacing w:after="0" w:line="20" w:lineRule="atLeast"/>
              <w:jc w:val="center"/>
              <w:rPr>
                <w:rFonts w:ascii="TH SarabunPSK" w:hAnsi="TH SarabunPSK" w:cs="TH SarabunPSK"/>
                <w:sz w:val="24"/>
                <w:szCs w:val="24"/>
              </w:rPr>
            </w:pPr>
            <w:r>
              <w:rPr>
                <w:rFonts w:ascii="TH Sarabun New" w:hAnsi="TH Sarabun New" w:cs="TH Sarabun New"/>
                <w:sz w:val="24"/>
                <w:szCs w:val="24"/>
              </w:rPr>
              <w:t>YouTube</w:t>
            </w:r>
          </w:p>
        </w:tc>
        <w:tc>
          <w:tcPr>
            <w:tcW w:w="1359" w:type="dxa"/>
            <w:vAlign w:val="center"/>
          </w:tcPr>
          <w:p w14:paraId="2FD06F5B" w14:textId="77777777" w:rsidR="001D1C02" w:rsidRDefault="00000000">
            <w:pPr>
              <w:spacing w:after="0" w:line="20" w:lineRule="atLeast"/>
              <w:jc w:val="center"/>
              <w:rPr>
                <w:rFonts w:ascii="TH SarabunPSK" w:hAnsi="TH SarabunPSK" w:cs="TH SarabunPSK"/>
                <w:sz w:val="24"/>
                <w:szCs w:val="24"/>
              </w:rPr>
            </w:pPr>
            <w:r>
              <w:rPr>
                <w:rFonts w:ascii="TH Sarabun New" w:hAnsi="TH Sarabun New" w:cs="TH Sarabun New"/>
                <w:sz w:val="24"/>
                <w:szCs w:val="24"/>
              </w:rPr>
              <w:t>Beautiful Guangxi</w:t>
            </w:r>
          </w:p>
        </w:tc>
        <w:tc>
          <w:tcPr>
            <w:tcW w:w="1362" w:type="dxa"/>
            <w:vAlign w:val="center"/>
          </w:tcPr>
          <w:p w14:paraId="6A4CD178" w14:textId="77777777" w:rsidR="001D1C02" w:rsidRDefault="00000000">
            <w:pPr>
              <w:spacing w:after="0" w:line="20" w:lineRule="atLeast"/>
              <w:jc w:val="center"/>
              <w:rPr>
                <w:rFonts w:ascii="TH SarabunPSK" w:hAnsi="TH SarabunPSK" w:cs="TH SarabunPSK"/>
                <w:sz w:val="24"/>
                <w:szCs w:val="24"/>
              </w:rPr>
            </w:pPr>
            <w:r>
              <w:rPr>
                <w:rFonts w:ascii="TH Sarabun New" w:hAnsi="TH Sarabun New" w:cs="TH Sarabun New"/>
                <w:sz w:val="24"/>
                <w:szCs w:val="24"/>
              </w:rPr>
              <w:t>Guangxi Daily</w:t>
            </w:r>
          </w:p>
        </w:tc>
        <w:tc>
          <w:tcPr>
            <w:tcW w:w="1128" w:type="dxa"/>
            <w:vAlign w:val="center"/>
          </w:tcPr>
          <w:p w14:paraId="200CD983" w14:textId="77777777" w:rsidR="001D1C02" w:rsidRDefault="00000000">
            <w:pPr>
              <w:spacing w:after="0" w:line="20" w:lineRule="atLeast"/>
              <w:jc w:val="center"/>
              <w:rPr>
                <w:rFonts w:ascii="TH SarabunPSK" w:hAnsi="TH SarabunPSK" w:cs="TH SarabunPSK"/>
                <w:sz w:val="24"/>
                <w:szCs w:val="24"/>
              </w:rPr>
            </w:pPr>
            <w:r>
              <w:rPr>
                <w:rFonts w:ascii="TH Sarabun New" w:hAnsi="TH Sarabun New" w:cs="TH Sarabun New"/>
                <w:sz w:val="24"/>
                <w:szCs w:val="24"/>
              </w:rPr>
              <w:t>Chinese, English</w:t>
            </w:r>
          </w:p>
        </w:tc>
        <w:tc>
          <w:tcPr>
            <w:tcW w:w="4659" w:type="dxa"/>
            <w:vAlign w:val="center"/>
          </w:tcPr>
          <w:p w14:paraId="2801462A" w14:textId="77777777" w:rsidR="001D1C02" w:rsidRDefault="00000000">
            <w:pPr>
              <w:spacing w:after="0" w:line="20" w:lineRule="atLeast"/>
              <w:jc w:val="center"/>
              <w:rPr>
                <w:rFonts w:ascii="TH SarabunPSK" w:hAnsi="TH SarabunPSK" w:cs="TH SarabunPSK"/>
                <w:sz w:val="24"/>
                <w:szCs w:val="24"/>
              </w:rPr>
            </w:pPr>
            <w:r>
              <w:rPr>
                <w:rFonts w:ascii="TH Sarabun New" w:hAnsi="TH Sarabun New" w:cs="TH Sarabun New"/>
                <w:sz w:val="24"/>
                <w:szCs w:val="24"/>
              </w:rPr>
              <w:t>Dedicated to vividly presenting Guangxi’s natural landscapes, ethnic cultures, economic development, and tourism appeal through original multimedia content (videos, images, and articles), thereby telling the “Guangxi story” to international audiences.</w:t>
            </w:r>
          </w:p>
        </w:tc>
      </w:tr>
      <w:tr w:rsidR="001D1C02" w14:paraId="337A2DF7" w14:textId="77777777">
        <w:tc>
          <w:tcPr>
            <w:tcW w:w="1120" w:type="dxa"/>
            <w:vAlign w:val="center"/>
          </w:tcPr>
          <w:p w14:paraId="5BA13E38" w14:textId="77777777" w:rsidR="001D1C02" w:rsidRDefault="00000000">
            <w:pPr>
              <w:spacing w:after="0" w:line="20" w:lineRule="atLeast"/>
              <w:jc w:val="center"/>
              <w:rPr>
                <w:rFonts w:ascii="TH SarabunPSK" w:hAnsi="TH SarabunPSK" w:cs="TH SarabunPSK"/>
                <w:sz w:val="24"/>
                <w:szCs w:val="24"/>
              </w:rPr>
            </w:pPr>
            <w:r>
              <w:rPr>
                <w:rFonts w:ascii="TH Sarabun New" w:hAnsi="TH Sarabun New" w:cs="TH Sarabun New"/>
                <w:sz w:val="24"/>
                <w:szCs w:val="24"/>
              </w:rPr>
              <w:t>Radio / YouTube</w:t>
            </w:r>
          </w:p>
        </w:tc>
        <w:tc>
          <w:tcPr>
            <w:tcW w:w="1359" w:type="dxa"/>
            <w:vAlign w:val="center"/>
          </w:tcPr>
          <w:p w14:paraId="53DCD1F8" w14:textId="77777777" w:rsidR="001D1C02" w:rsidRDefault="00000000">
            <w:pPr>
              <w:spacing w:after="0" w:line="20" w:lineRule="atLeast"/>
              <w:jc w:val="center"/>
              <w:rPr>
                <w:rFonts w:ascii="TH SarabunPSK" w:hAnsi="TH SarabunPSK" w:cs="TH SarabunPSK"/>
                <w:sz w:val="24"/>
                <w:szCs w:val="24"/>
              </w:rPr>
            </w:pPr>
            <w:r>
              <w:rPr>
                <w:rFonts w:ascii="TH Sarabun New" w:hAnsi="TH Sarabun New" w:cs="TH Sarabun New"/>
                <w:i/>
                <w:iCs/>
                <w:sz w:val="24"/>
                <w:szCs w:val="24"/>
              </w:rPr>
              <w:t>Guangxi North Bay Radio</w:t>
            </w:r>
          </w:p>
        </w:tc>
        <w:tc>
          <w:tcPr>
            <w:tcW w:w="1362" w:type="dxa"/>
            <w:vAlign w:val="center"/>
          </w:tcPr>
          <w:p w14:paraId="596FF8F3" w14:textId="77777777" w:rsidR="001D1C02" w:rsidRDefault="00000000">
            <w:pPr>
              <w:spacing w:after="0" w:line="20" w:lineRule="atLeast"/>
              <w:jc w:val="center"/>
              <w:rPr>
                <w:rFonts w:ascii="TH SarabunPSK" w:hAnsi="TH SarabunPSK" w:cs="TH SarabunPSK"/>
                <w:sz w:val="24"/>
                <w:szCs w:val="24"/>
              </w:rPr>
            </w:pPr>
            <w:r>
              <w:rPr>
                <w:rFonts w:ascii="TH Sarabun New" w:hAnsi="TH Sarabun New" w:cs="TH Sarabun New"/>
                <w:sz w:val="24"/>
                <w:szCs w:val="24"/>
              </w:rPr>
              <w:t>Guangxi Radio and Television Station</w:t>
            </w:r>
          </w:p>
        </w:tc>
        <w:tc>
          <w:tcPr>
            <w:tcW w:w="1128" w:type="dxa"/>
            <w:vAlign w:val="center"/>
          </w:tcPr>
          <w:p w14:paraId="37AE64A9" w14:textId="77777777" w:rsidR="001D1C02" w:rsidRDefault="00000000">
            <w:pPr>
              <w:spacing w:after="0" w:line="20" w:lineRule="atLeast"/>
              <w:jc w:val="center"/>
              <w:rPr>
                <w:rFonts w:ascii="TH SarabunPSK" w:hAnsi="TH SarabunPSK" w:cs="TH SarabunPSK"/>
                <w:sz w:val="24"/>
                <w:szCs w:val="24"/>
              </w:rPr>
            </w:pPr>
            <w:r>
              <w:rPr>
                <w:rFonts w:ascii="TH Sarabun New" w:hAnsi="TH Sarabun New" w:cs="TH Sarabun New"/>
                <w:sz w:val="24"/>
                <w:szCs w:val="24"/>
              </w:rPr>
              <w:t>English, Thai, Vietnamese, Cantonese, Mandarin</w:t>
            </w:r>
          </w:p>
        </w:tc>
        <w:tc>
          <w:tcPr>
            <w:tcW w:w="4659" w:type="dxa"/>
            <w:vAlign w:val="center"/>
          </w:tcPr>
          <w:p w14:paraId="38586DD4" w14:textId="77777777" w:rsidR="001D1C02" w:rsidRDefault="00000000">
            <w:pPr>
              <w:spacing w:after="0" w:line="20" w:lineRule="atLeast"/>
              <w:jc w:val="center"/>
              <w:rPr>
                <w:rFonts w:ascii="TH SarabunPSK" w:hAnsi="TH SarabunPSK" w:cs="TH SarabunPSK"/>
                <w:sz w:val="24"/>
                <w:szCs w:val="24"/>
              </w:rPr>
            </w:pPr>
            <w:r>
              <w:rPr>
                <w:rFonts w:ascii="TH Sarabun New" w:hAnsi="TH Sarabun New" w:cs="TH Sarabun New"/>
                <w:sz w:val="24"/>
                <w:szCs w:val="24"/>
              </w:rPr>
              <w:t>As a multilingual regional international broadcasting service, </w:t>
            </w:r>
            <w:r>
              <w:rPr>
                <w:rFonts w:ascii="TH Sarabun New" w:hAnsi="TH Sarabun New" w:cs="TH Sarabun New"/>
                <w:i/>
                <w:iCs/>
                <w:sz w:val="24"/>
                <w:szCs w:val="24"/>
              </w:rPr>
              <w:t>Voice of the Beibu Gulf</w:t>
            </w:r>
            <w:r>
              <w:rPr>
                <w:rFonts w:ascii="TH Sarabun New" w:hAnsi="TH Sarabun New" w:cs="TH Sarabun New"/>
                <w:sz w:val="24"/>
                <w:szCs w:val="24"/>
              </w:rPr>
              <w:t> covers ASEAN countries via shortwave, medium wave, FM, and digital platforms. Its core mission is to disseminate China–ASEAN regional cooperation narratives and enhance mutual trust and friendship.</w:t>
            </w:r>
          </w:p>
        </w:tc>
      </w:tr>
      <w:tr w:rsidR="001D1C02" w14:paraId="1584A873" w14:textId="77777777">
        <w:tc>
          <w:tcPr>
            <w:tcW w:w="1120" w:type="dxa"/>
            <w:vAlign w:val="center"/>
          </w:tcPr>
          <w:p w14:paraId="71422F4C" w14:textId="77777777" w:rsidR="001D1C02" w:rsidRDefault="00000000">
            <w:pPr>
              <w:spacing w:after="0" w:line="20" w:lineRule="atLeast"/>
              <w:jc w:val="center"/>
              <w:rPr>
                <w:rFonts w:ascii="TH SarabunPSK" w:hAnsi="TH SarabunPSK" w:cs="TH SarabunPSK"/>
                <w:sz w:val="24"/>
                <w:szCs w:val="24"/>
              </w:rPr>
            </w:pPr>
            <w:r>
              <w:rPr>
                <w:rFonts w:ascii="TH SarabunPSK" w:hAnsi="TH SarabunPSK" w:cs="TH SarabunPSK" w:hint="cs"/>
                <w:sz w:val="24"/>
                <w:szCs w:val="24"/>
              </w:rPr>
              <w:t>YouTube / Facebook / Instagram / TikTok / X (Twitter)</w:t>
            </w:r>
          </w:p>
        </w:tc>
        <w:tc>
          <w:tcPr>
            <w:tcW w:w="1359" w:type="dxa"/>
            <w:vAlign w:val="center"/>
          </w:tcPr>
          <w:p w14:paraId="131D7D42" w14:textId="77777777" w:rsidR="001D1C02" w:rsidRDefault="00000000">
            <w:pPr>
              <w:spacing w:after="0" w:line="20" w:lineRule="atLeast"/>
              <w:jc w:val="center"/>
              <w:rPr>
                <w:rFonts w:ascii="TH SarabunPSK" w:hAnsi="TH SarabunPSK" w:cs="TH SarabunPSK"/>
                <w:sz w:val="24"/>
                <w:szCs w:val="24"/>
              </w:rPr>
            </w:pPr>
            <w:r>
              <w:rPr>
                <w:rFonts w:ascii="TH SarabunPSK" w:hAnsi="TH SarabunPSK" w:cs="TH SarabunPSK" w:hint="cs"/>
                <w:sz w:val="24"/>
                <w:szCs w:val="24"/>
              </w:rPr>
              <w:t>Splendors of Guangxi</w:t>
            </w:r>
          </w:p>
        </w:tc>
        <w:tc>
          <w:tcPr>
            <w:tcW w:w="1362" w:type="dxa"/>
            <w:vAlign w:val="center"/>
          </w:tcPr>
          <w:p w14:paraId="6D5B102F" w14:textId="77777777" w:rsidR="001D1C02" w:rsidRDefault="00000000">
            <w:pPr>
              <w:spacing w:after="0" w:line="20" w:lineRule="atLeast"/>
              <w:jc w:val="center"/>
              <w:rPr>
                <w:rFonts w:ascii="TH SarabunPSK" w:hAnsi="TH SarabunPSK" w:cs="TH SarabunPSK"/>
                <w:sz w:val="24"/>
                <w:szCs w:val="24"/>
              </w:rPr>
            </w:pPr>
            <w:r>
              <w:rPr>
                <w:rFonts w:ascii="TH SarabunPSK" w:hAnsi="TH SarabunPSK" w:cs="TH SarabunPSK" w:hint="cs"/>
                <w:sz w:val="24"/>
                <w:szCs w:val="24"/>
              </w:rPr>
              <w:t>Guangxi Zhuang Autonomous Region Department of Culture and Tourism</w:t>
            </w:r>
          </w:p>
        </w:tc>
        <w:tc>
          <w:tcPr>
            <w:tcW w:w="1128" w:type="dxa"/>
            <w:vAlign w:val="center"/>
          </w:tcPr>
          <w:p w14:paraId="5988D8A7" w14:textId="77777777" w:rsidR="001D1C02" w:rsidRDefault="00000000">
            <w:pPr>
              <w:spacing w:after="0" w:line="20" w:lineRule="atLeast"/>
              <w:jc w:val="center"/>
              <w:rPr>
                <w:rFonts w:ascii="TH SarabunPSK" w:hAnsi="TH SarabunPSK" w:cs="TH SarabunPSK"/>
                <w:sz w:val="24"/>
                <w:szCs w:val="24"/>
              </w:rPr>
            </w:pPr>
            <w:r>
              <w:rPr>
                <w:rFonts w:ascii="TH SarabunPSK" w:hAnsi="TH SarabunPSK" w:cs="TH SarabunPSK" w:hint="cs"/>
                <w:sz w:val="24"/>
                <w:szCs w:val="24"/>
              </w:rPr>
              <w:t>English, Thai, Lao, Vietnamese, Khmer, Burmese, Indonesian, etc.</w:t>
            </w:r>
          </w:p>
        </w:tc>
        <w:tc>
          <w:tcPr>
            <w:tcW w:w="4659" w:type="dxa"/>
            <w:vAlign w:val="center"/>
          </w:tcPr>
          <w:p w14:paraId="71EC68FD" w14:textId="77777777" w:rsidR="001D1C02" w:rsidRDefault="00000000">
            <w:pPr>
              <w:spacing w:after="0" w:line="20" w:lineRule="atLeast"/>
              <w:jc w:val="center"/>
              <w:rPr>
                <w:rFonts w:ascii="TH SarabunPSK" w:hAnsi="TH SarabunPSK" w:cs="TH SarabunPSK"/>
                <w:sz w:val="24"/>
                <w:szCs w:val="24"/>
              </w:rPr>
            </w:pPr>
            <w:r>
              <w:rPr>
                <w:rFonts w:ascii="TH SarabunPSK" w:hAnsi="TH SarabunPSK" w:cs="TH SarabunPSK" w:hint="cs"/>
                <w:sz w:val="24"/>
                <w:szCs w:val="24"/>
              </w:rPr>
              <w:t>Promotes Guangxi’s tourism resources, ethnic cultures, and festivals through an integrated media matrix. Core content includes iconic natural and cultural assets such as the Li River and Yulong River landscapes in Guilin, the volcanic and marine ecology of Weizhou Island, the Huashan Rock Art of the Zuojiang River, Detian Waterfall, and Mingshi Pastoral Scenery, contributing to the branding of Guangxi as a world-class tourism destination.</w:t>
            </w:r>
          </w:p>
        </w:tc>
      </w:tr>
      <w:tr w:rsidR="001D1C02" w14:paraId="46E8AEF7" w14:textId="77777777">
        <w:tc>
          <w:tcPr>
            <w:tcW w:w="1120" w:type="dxa"/>
            <w:vAlign w:val="center"/>
          </w:tcPr>
          <w:p w14:paraId="1D3F050B" w14:textId="77777777" w:rsidR="001D1C02" w:rsidRDefault="00000000">
            <w:pPr>
              <w:spacing w:after="0" w:line="20" w:lineRule="atLeast"/>
              <w:jc w:val="center"/>
              <w:rPr>
                <w:rFonts w:ascii="TH SarabunPSK" w:hAnsi="TH SarabunPSK" w:cs="TH SarabunPSK"/>
                <w:sz w:val="24"/>
                <w:szCs w:val="24"/>
              </w:rPr>
            </w:pPr>
            <w:r>
              <w:rPr>
                <w:rFonts w:ascii="TH Sarabun New" w:hAnsi="TH Sarabun New" w:cs="TH Sarabun New"/>
                <w:sz w:val="24"/>
                <w:szCs w:val="24"/>
              </w:rPr>
              <w:lastRenderedPageBreak/>
              <w:t>YouTube</w:t>
            </w:r>
          </w:p>
        </w:tc>
        <w:tc>
          <w:tcPr>
            <w:tcW w:w="1359" w:type="dxa"/>
            <w:vAlign w:val="center"/>
          </w:tcPr>
          <w:p w14:paraId="15B1327E" w14:textId="77777777" w:rsidR="001D1C02" w:rsidRDefault="00000000">
            <w:pPr>
              <w:spacing w:after="0" w:line="20" w:lineRule="atLeast"/>
              <w:jc w:val="center"/>
              <w:rPr>
                <w:rFonts w:ascii="TH SarabunPSK" w:hAnsi="TH SarabunPSK" w:cs="TH SarabunPSK"/>
                <w:sz w:val="24"/>
                <w:szCs w:val="24"/>
              </w:rPr>
            </w:pPr>
            <w:r>
              <w:rPr>
                <w:rFonts w:ascii="TH Sarabun New" w:hAnsi="TH Sarabun New" w:cs="TH Sarabun New"/>
                <w:i/>
                <w:iCs/>
                <w:sz w:val="24"/>
                <w:szCs w:val="24"/>
              </w:rPr>
              <w:t>Amazing Liuzhou</w:t>
            </w:r>
          </w:p>
        </w:tc>
        <w:tc>
          <w:tcPr>
            <w:tcW w:w="1362" w:type="dxa"/>
            <w:vAlign w:val="center"/>
          </w:tcPr>
          <w:p w14:paraId="49EAC7CA" w14:textId="77777777" w:rsidR="001D1C02" w:rsidRDefault="00000000">
            <w:pPr>
              <w:spacing w:after="0" w:line="20" w:lineRule="atLeast"/>
              <w:jc w:val="center"/>
              <w:rPr>
                <w:rFonts w:ascii="TH SarabunPSK" w:hAnsi="TH SarabunPSK" w:cs="TH SarabunPSK"/>
                <w:sz w:val="24"/>
                <w:szCs w:val="24"/>
              </w:rPr>
            </w:pPr>
            <w:r>
              <w:rPr>
                <w:rFonts w:ascii="TH Sarabun New" w:hAnsi="TH Sarabun New" w:cs="TH Sarabun New"/>
                <w:sz w:val="24"/>
                <w:szCs w:val="24"/>
              </w:rPr>
              <w:t>Liuzhou International Communication Center</w:t>
            </w:r>
          </w:p>
        </w:tc>
        <w:tc>
          <w:tcPr>
            <w:tcW w:w="1128" w:type="dxa"/>
            <w:vAlign w:val="center"/>
          </w:tcPr>
          <w:p w14:paraId="4EFF7D2E" w14:textId="77777777" w:rsidR="001D1C02" w:rsidRDefault="00000000">
            <w:pPr>
              <w:spacing w:after="0" w:line="20" w:lineRule="atLeast"/>
              <w:jc w:val="center"/>
              <w:rPr>
                <w:rFonts w:ascii="TH SarabunPSK" w:hAnsi="TH SarabunPSK" w:cs="TH SarabunPSK"/>
                <w:sz w:val="24"/>
                <w:szCs w:val="24"/>
              </w:rPr>
            </w:pPr>
            <w:r>
              <w:rPr>
                <w:rFonts w:ascii="TH Sarabun New" w:hAnsi="TH Sarabun New" w:cs="TH Sarabun New"/>
                <w:sz w:val="24"/>
                <w:szCs w:val="24"/>
              </w:rPr>
              <w:t>Chinese, English</w:t>
            </w:r>
          </w:p>
        </w:tc>
        <w:tc>
          <w:tcPr>
            <w:tcW w:w="4659" w:type="dxa"/>
            <w:vAlign w:val="center"/>
          </w:tcPr>
          <w:p w14:paraId="3A721DA9" w14:textId="77777777" w:rsidR="001D1C02" w:rsidRDefault="00000000">
            <w:pPr>
              <w:spacing w:after="0" w:line="20" w:lineRule="atLeast"/>
              <w:jc w:val="center"/>
              <w:rPr>
                <w:rFonts w:ascii="TH SarabunPSK" w:hAnsi="TH SarabunPSK" w:cs="TH SarabunPSK"/>
                <w:sz w:val="24"/>
                <w:szCs w:val="24"/>
              </w:rPr>
            </w:pPr>
            <w:r>
              <w:rPr>
                <w:rFonts w:ascii="TH Sarabun New" w:hAnsi="TH Sarabun New" w:cs="TH Sarabun New"/>
                <w:sz w:val="24"/>
                <w:szCs w:val="24"/>
              </w:rPr>
              <w:t>Showcases Liuzhou’s natural scenery, industrial achievements, and ethnic cultures through images and short videos. Content centers on the city’s signature elements—automobile manufacturing, river ecology, </w:t>
            </w:r>
            <w:r>
              <w:rPr>
                <w:rFonts w:ascii="TH Sarabun New" w:hAnsi="TH Sarabun New" w:cs="TH Sarabun New"/>
                <w:i/>
                <w:iCs/>
                <w:sz w:val="24"/>
                <w:szCs w:val="24"/>
              </w:rPr>
              <w:t>luosifen</w:t>
            </w:r>
            <w:r>
              <w:rPr>
                <w:rFonts w:ascii="TH Sarabun New" w:hAnsi="TH Sarabun New" w:cs="TH Sarabun New"/>
                <w:sz w:val="24"/>
                <w:szCs w:val="24"/>
              </w:rPr>
              <w:t> cuisine, and ethnic traditions—using internationalized narratives to tell localized Chinese stories.</w:t>
            </w:r>
          </w:p>
        </w:tc>
      </w:tr>
    </w:tbl>
    <w:p w14:paraId="678D1A03" w14:textId="77777777" w:rsidR="001D1C02" w:rsidRDefault="00000000">
      <w:pPr>
        <w:spacing w:after="0" w:line="20" w:lineRule="atLeast"/>
        <w:rPr>
          <w:rFonts w:ascii="TH Sarabun New" w:hAnsi="TH Sarabun New" w:cs="TH Sarabun New"/>
          <w:i/>
          <w:iCs/>
          <w:sz w:val="24"/>
          <w:szCs w:val="24"/>
          <w:cs/>
        </w:rPr>
      </w:pPr>
      <w:r>
        <w:rPr>
          <w:rStyle w:val="NoteChar"/>
        </w:rPr>
        <w:t xml:space="preserve">Source: Compiled by the author </w:t>
      </w:r>
      <w:r>
        <w:rPr>
          <w:rFonts w:ascii="TH Sarabun New" w:hAnsi="TH Sarabun New" w:cs="TH Sarabun New" w:hint="cs"/>
          <w:i/>
          <w:iCs/>
          <w:sz w:val="24"/>
          <w:szCs w:val="24"/>
          <w:cs/>
        </w:rPr>
        <w:t xml:space="preserve"> </w:t>
      </w:r>
    </w:p>
    <w:p w14:paraId="2B2BCE97" w14:textId="77777777" w:rsidR="001D1C02" w:rsidRDefault="00000000">
      <w:pPr>
        <w:pStyle w:val="Content"/>
        <w:rPr>
          <w:b/>
          <w:bCs/>
          <w:i/>
          <w:iCs/>
        </w:rPr>
      </w:pPr>
      <w:r>
        <w:rPr>
          <w:b/>
          <w:bCs/>
          <w:i/>
          <w:iCs/>
          <w:lang w:eastAsia="zh-CN"/>
        </w:rPr>
        <w:t>3</w:t>
      </w:r>
      <w:r>
        <w:rPr>
          <w:b/>
          <w:bCs/>
          <w:i/>
          <w:iCs/>
        </w:rPr>
        <w:t>) Deep Cultural Carriers: Publishing as Value Consolidation</w:t>
      </w:r>
    </w:p>
    <w:p w14:paraId="4AA1471A" w14:textId="77777777" w:rsidR="001D1C02" w:rsidRDefault="00000000">
      <w:pPr>
        <w:spacing w:after="0" w:line="20" w:lineRule="atLeast"/>
        <w:jc w:val="thaiDistribute"/>
        <w:rPr>
          <w:rFonts w:ascii="TH Sarabun New" w:hAnsi="TH Sarabun New" w:cs="TH Sarabun New"/>
          <w:sz w:val="28"/>
        </w:rPr>
      </w:pPr>
      <w:r>
        <w:rPr>
          <w:rFonts w:ascii="TH Sarabun New" w:hAnsi="TH Sarabun New" w:cs="TH Sarabun New"/>
          <w:sz w:val="28"/>
        </w:rPr>
        <w:t xml:space="preserve">        While social media enables rapid affective stimulation, the publishing sector consolidates warm power through sustained intellectual and cultural exchange. Guangxi’s publishing institutions have advanced Thailand-oriented communication via platforms, physical spaces, and flagship projects.</w:t>
      </w:r>
    </w:p>
    <w:p w14:paraId="28319EE4" w14:textId="77777777" w:rsidR="001D1C02" w:rsidRDefault="00000000">
      <w:pPr>
        <w:spacing w:after="0" w:line="20" w:lineRule="atLeast"/>
        <w:jc w:val="thaiDistribute"/>
        <w:rPr>
          <w:rFonts w:ascii="TH Sarabun New" w:hAnsi="TH Sarabun New" w:cs="TH Sarabun New"/>
          <w:sz w:val="28"/>
        </w:rPr>
      </w:pPr>
      <w:r>
        <w:rPr>
          <w:rFonts w:ascii="TH Sarabun New" w:hAnsi="TH Sarabun New" w:cs="TH Sarabun New"/>
          <w:sz w:val="28"/>
        </w:rPr>
        <w:t xml:space="preserve">        Platform-based initiatives such as the China–ASEAN Copyright Trade Service Platform and the Relay–ASEAN Children’s Book Alliance have facilitated extensive copyright cooperation while cultivating shared professional identity and emotional continuity. Physical spaces, exemplified by the Duxiu Bookstore at Prince of Songkla University, function as immersive “cultural living rooms,” enabling participatory and everyday experiences of Chinese culture. Flagship projects—including the Modern Thai–Chinese Dictionary and the China–Southeast Asia Bronze Drum series—embody respect for linguistic and historical commonality, transforming academic collaboration into affective and civilizational dialogue (</w:t>
      </w:r>
      <w:r>
        <w:rPr>
          <w:rFonts w:ascii="TH Sarabun New" w:hAnsi="TH Sarabun New" w:cs="TH Sarabun New" w:hint="eastAsia"/>
          <w:sz w:val="28"/>
        </w:rPr>
        <w:t>Chen &amp; Li, 2025</w:t>
      </w:r>
      <w:r>
        <w:rPr>
          <w:rFonts w:ascii="TH Sarabun New" w:hAnsi="TH Sarabun New" w:cs="TH Sarabun New"/>
          <w:sz w:val="28"/>
        </w:rPr>
        <w:t>). Collectively, these deep carriers provide the rational and value-based grounding necessary for sustainable affective resonance.</w:t>
      </w:r>
    </w:p>
    <w:p w14:paraId="12A960A1" w14:textId="77777777" w:rsidR="001D1C02" w:rsidRDefault="00000000">
      <w:pPr>
        <w:pStyle w:val="Content"/>
        <w:rPr>
          <w:b/>
          <w:bCs/>
          <w:i/>
          <w:iCs/>
        </w:rPr>
      </w:pPr>
      <w:r>
        <w:rPr>
          <w:b/>
          <w:bCs/>
          <w:i/>
          <w:iCs/>
          <w:lang w:eastAsia="zh-CN"/>
        </w:rPr>
        <w:t>4</w:t>
      </w:r>
      <w:r>
        <w:rPr>
          <w:b/>
          <w:bCs/>
          <w:i/>
          <w:iCs/>
        </w:rPr>
        <w:t>) Inward-Oriented Services and Bidirectional Circulation</w:t>
      </w:r>
    </w:p>
    <w:p w14:paraId="06ECC520" w14:textId="77777777" w:rsidR="001D1C02" w:rsidRDefault="00000000">
      <w:pPr>
        <w:spacing w:after="0" w:line="20" w:lineRule="atLeast"/>
        <w:jc w:val="thaiDistribute"/>
        <w:rPr>
          <w:rFonts w:ascii="TH Sarabun New" w:hAnsi="TH Sarabun New" w:cs="TH Sarabun New"/>
          <w:sz w:val="28"/>
        </w:rPr>
      </w:pPr>
      <w:r>
        <w:rPr>
          <w:rFonts w:ascii="TH Sarabun New" w:hAnsi="TH Sarabun New" w:cs="TH Sarabun New"/>
          <w:sz w:val="28"/>
        </w:rPr>
        <w:t xml:space="preserve">        Warm power ecosystems also require inward-oriented communication serving ASEAN nationals residing in China. Guangxi’s multilingual broadcasting and localized video platforms provide Thai and other ASEAN audiences with culturally familiar information environments, enhancing lived experience and emotional identification. Such individuals subsequently act as authentic interpreters and secondary disseminators through interpersonal networks.</w:t>
      </w:r>
    </w:p>
    <w:p w14:paraId="44531EC9" w14:textId="77777777" w:rsidR="001D1C02" w:rsidRDefault="00000000">
      <w:pPr>
        <w:spacing w:after="0" w:line="20" w:lineRule="atLeast"/>
        <w:jc w:val="thaiDistribute"/>
        <w:rPr>
          <w:rFonts w:ascii="TH Sarabun New" w:hAnsi="TH Sarabun New" w:cs="TH Sarabun New"/>
          <w:sz w:val="28"/>
        </w:rPr>
      </w:pPr>
      <w:r>
        <w:rPr>
          <w:rFonts w:ascii="TH Sarabun New" w:hAnsi="TH Sarabun New" w:cs="TH Sarabun New"/>
          <w:sz w:val="28"/>
        </w:rPr>
        <w:t xml:space="preserve">        This bidirectional mechanism—mirrored in Yunnan’s Burmese-language services for Myanmar nationals—forms an endogenous circulation loop of “inward service–affective accumulation–outward diffusion,” enabling warm power to move beyond one-way projection toward sustainable people-to-people connectivity.</w:t>
      </w:r>
    </w:p>
    <w:p w14:paraId="43D0EDC5" w14:textId="77777777" w:rsidR="001D1C02" w:rsidRDefault="001D1C02">
      <w:pPr>
        <w:spacing w:after="0" w:line="20" w:lineRule="atLeast"/>
        <w:jc w:val="thaiDistribute"/>
        <w:rPr>
          <w:rFonts w:ascii="TH Sarabun New" w:hAnsi="TH Sarabun New" w:cs="TH Sarabun New"/>
          <w:sz w:val="28"/>
        </w:rPr>
      </w:pPr>
    </w:p>
    <w:p w14:paraId="413E75DC" w14:textId="77777777" w:rsidR="001D1C02" w:rsidRDefault="00000000">
      <w:pPr>
        <w:pStyle w:val="Content"/>
      </w:pPr>
      <w:r>
        <w:rPr>
          <w:b/>
          <w:bCs/>
        </w:rPr>
        <w:t>Core Strategies: Thai-Localized Narratives, Audience Segmentation, and “Warm Interaction”</w:t>
      </w:r>
    </w:p>
    <w:p w14:paraId="143C43DA" w14:textId="77777777" w:rsidR="001D1C02" w:rsidRDefault="00000000">
      <w:pPr>
        <w:spacing w:after="0" w:line="20" w:lineRule="atLeast"/>
        <w:jc w:val="thaiDistribute"/>
        <w:rPr>
          <w:rFonts w:ascii="TH Sarabun New" w:hAnsi="TH Sarabun New" w:cs="TH Sarabun New"/>
          <w:sz w:val="28"/>
        </w:rPr>
      </w:pPr>
      <w:r>
        <w:rPr>
          <w:rFonts w:ascii="TH Sarabun New" w:hAnsi="TH Sarabun New" w:cs="TH Sarabun New"/>
          <w:sz w:val="28"/>
        </w:rPr>
        <w:t>Guangxi’s warm power construction toward Thailand rests on three interlocking strategies: Thai-localized narratives, refined audience segmentation, and integrated online–offline warm interaction. Together, they translate strategic intent into resonant communicative practice.</w:t>
      </w:r>
    </w:p>
    <w:p w14:paraId="6703CE3F" w14:textId="77777777" w:rsidR="001D1C02" w:rsidRDefault="00000000">
      <w:pPr>
        <w:pStyle w:val="Content"/>
        <w:rPr>
          <w:b/>
          <w:bCs/>
          <w:i/>
          <w:iCs/>
        </w:rPr>
      </w:pPr>
      <w:r>
        <w:rPr>
          <w:b/>
          <w:bCs/>
          <w:i/>
          <w:iCs/>
          <w:lang w:eastAsia="zh-CN"/>
        </w:rPr>
        <w:t>1</w:t>
      </w:r>
      <w:r>
        <w:rPr>
          <w:b/>
          <w:bCs/>
          <w:i/>
          <w:iCs/>
        </w:rPr>
        <w:t>) Thai-Localized Narratives</w:t>
      </w:r>
    </w:p>
    <w:p w14:paraId="180C2EBD" w14:textId="77777777" w:rsidR="001D1C02" w:rsidRDefault="00000000">
      <w:pPr>
        <w:spacing w:after="0" w:line="20" w:lineRule="atLeast"/>
        <w:jc w:val="thaiDistribute"/>
        <w:rPr>
          <w:rFonts w:ascii="TH Sarabun New" w:hAnsi="TH Sarabun New" w:cs="TH Sarabun New"/>
          <w:sz w:val="28"/>
        </w:rPr>
      </w:pPr>
      <w:r>
        <w:rPr>
          <w:rFonts w:ascii="TH Sarabun New" w:hAnsi="TH Sarabun New" w:cs="TH Sarabun New"/>
          <w:sz w:val="28"/>
        </w:rPr>
        <w:t xml:space="preserve">        Thai-localized narrative functions as the core grammar of Guangxi’s communication. First, at the content level, narratives shift from macro national themes to everyday life and shared regional concerns. Audiovisual works such as the Thai-dubbed drama Daughter of the Mountains and the micro-series Sawadee—Adventures in Thailand foreground universal human values and youth collaboration </w:t>
      </w:r>
      <w:r>
        <w:rPr>
          <w:rFonts w:ascii="TH Sarabun New" w:hAnsi="TH Sarabun New" w:cs="TH Sarabun New" w:hint="eastAsia"/>
          <w:sz w:val="28"/>
        </w:rPr>
        <w:t>(Guangxi Zhuang Autonomous Region Radio and Television Bureau, 2025</w:t>
      </w:r>
      <w:r>
        <w:rPr>
          <w:rFonts w:ascii="TH Sarabun New" w:hAnsi="TH Sarabun New" w:cs="TH Sarabun New" w:hint="eastAsia"/>
          <w:sz w:val="28"/>
          <w:lang w:eastAsia="zh-CN"/>
        </w:rPr>
        <w:t>; Li, Huang, Qi, &amp; Wang, 2025</w:t>
      </w:r>
      <w:r>
        <w:rPr>
          <w:rFonts w:ascii="TH Sarabun New" w:hAnsi="TH Sarabun New" w:cs="TH Sarabun New" w:hint="eastAsia"/>
          <w:sz w:val="28"/>
        </w:rPr>
        <w:t>)</w:t>
      </w:r>
      <w:r>
        <w:rPr>
          <w:rFonts w:ascii="TH Sarabun New" w:hAnsi="TH Sarabun New" w:cs="TH Sarabun New"/>
          <w:sz w:val="28"/>
        </w:rPr>
        <w:t>. Publishing projects similarly translate Zhuang epics and shared cultural symbols into accessible narratives (</w:t>
      </w:r>
      <w:r>
        <w:rPr>
          <w:rStyle w:val="Level3HeadingsChar"/>
          <w:rFonts w:hint="eastAsia"/>
          <w:i w:val="0"/>
          <w:iCs w:val="0"/>
        </w:rPr>
        <w:t>Chen &amp; Li, 2025</w:t>
      </w:r>
      <w:r>
        <w:rPr>
          <w:rFonts w:ascii="TH Sarabun New" w:hAnsi="TH Sarabun New" w:cs="TH Sarabun New"/>
          <w:sz w:val="28"/>
        </w:rPr>
        <w:t>).</w:t>
      </w:r>
    </w:p>
    <w:p w14:paraId="2669D90F" w14:textId="77777777" w:rsidR="001D1C02" w:rsidRDefault="00000000">
      <w:pPr>
        <w:spacing w:after="0" w:line="20" w:lineRule="atLeast"/>
        <w:jc w:val="thaiDistribute"/>
        <w:rPr>
          <w:rFonts w:ascii="TH Sarabun New" w:hAnsi="TH Sarabun New" w:cs="TH Sarabun New"/>
          <w:sz w:val="28"/>
        </w:rPr>
      </w:pPr>
      <w:r>
        <w:rPr>
          <w:rFonts w:ascii="TH Sarabun New" w:hAnsi="TH Sarabun New" w:cs="TH Sarabun New"/>
          <w:sz w:val="28"/>
        </w:rPr>
        <w:t xml:space="preserve">        Second, at the discursive level, cultural translation replaces direct assertion. Analogies between Guilin and Krabi or the linkage of China’s high-speed rail with Thailand’s future infrastructure transform national development into locally </w:t>
      </w:r>
      <w:r>
        <w:rPr>
          <w:rFonts w:ascii="TH Sarabun New" w:hAnsi="TH Sarabun New" w:cs="TH Sarabun New"/>
          <w:sz w:val="28"/>
        </w:rPr>
        <w:lastRenderedPageBreak/>
        <w:t>relevant meaning (Wei, 2024). Third, communicative actors adopt softened, personified roles—engaging Thai audiences as “friends” rather than official representatives. Finally, deep textual carriers such as dictionaries and children’s literature sustain long-term respect and understanding, enabling affective resonance to evolve into value identification.</w:t>
      </w:r>
    </w:p>
    <w:p w14:paraId="45B8EA78" w14:textId="77777777" w:rsidR="001D1C02" w:rsidRDefault="00000000">
      <w:pPr>
        <w:pStyle w:val="Content"/>
        <w:rPr>
          <w:b/>
          <w:bCs/>
          <w:i/>
          <w:iCs/>
        </w:rPr>
      </w:pPr>
      <w:r>
        <w:rPr>
          <w:b/>
          <w:bCs/>
          <w:i/>
          <w:iCs/>
          <w:lang w:eastAsia="zh-CN"/>
        </w:rPr>
        <w:t>2</w:t>
      </w:r>
      <w:r>
        <w:rPr>
          <w:b/>
          <w:bCs/>
          <w:i/>
          <w:iCs/>
        </w:rPr>
        <w:t>) Refined Audience Segmentation</w:t>
      </w:r>
    </w:p>
    <w:p w14:paraId="6207C526" w14:textId="77777777" w:rsidR="001D1C02" w:rsidRDefault="00000000">
      <w:pPr>
        <w:spacing w:after="0" w:line="20" w:lineRule="atLeast"/>
        <w:jc w:val="thaiDistribute"/>
        <w:rPr>
          <w:rFonts w:ascii="TH Sarabun New" w:hAnsi="TH Sarabun New" w:cs="TH Sarabun New"/>
          <w:sz w:val="28"/>
        </w:rPr>
      </w:pPr>
      <w:r>
        <w:rPr>
          <w:rFonts w:ascii="TH Sarabun New" w:hAnsi="TH Sarabun New" w:cs="TH Sarabun New"/>
          <w:sz w:val="28"/>
        </w:rPr>
        <w:t xml:space="preserve">        Rejecting undifferentiated broadcasting, Guangxi employs multi-tiered segmentation. Platform-based segmentation aligns TikTok with Generation Z, LINE with localized Thai communities, and Facebook/YouTube with broader demographics. Interest-based segmentation </w:t>
      </w:r>
      <w:proofErr w:type="gramStart"/>
      <w:r>
        <w:rPr>
          <w:rFonts w:ascii="TH Sarabun New" w:hAnsi="TH Sarabun New" w:cs="TH Sarabun New"/>
          <w:sz w:val="28"/>
        </w:rPr>
        <w:t>tailors</w:t>
      </w:r>
      <w:proofErr w:type="gramEnd"/>
      <w:r>
        <w:rPr>
          <w:rFonts w:ascii="TH Sarabun New" w:hAnsi="TH Sarabun New" w:cs="TH Sarabun New"/>
          <w:sz w:val="28"/>
        </w:rPr>
        <w:t xml:space="preserve"> content to children, scholars, and business professionals through animation, academic series, and industry forums (Huang, 2023).</w:t>
      </w:r>
    </w:p>
    <w:p w14:paraId="5F232E8D" w14:textId="77777777" w:rsidR="001D1C02" w:rsidRDefault="00000000">
      <w:pPr>
        <w:spacing w:after="0" w:line="20" w:lineRule="atLeast"/>
        <w:jc w:val="thaiDistribute"/>
        <w:rPr>
          <w:rFonts w:ascii="TH Sarabun New" w:hAnsi="TH Sarabun New" w:cs="TH Sarabun New"/>
          <w:sz w:val="28"/>
        </w:rPr>
      </w:pPr>
      <w:r>
        <w:rPr>
          <w:rFonts w:ascii="TH Sarabun New" w:hAnsi="TH Sarabun New" w:cs="TH Sarabun New"/>
          <w:sz w:val="28"/>
        </w:rPr>
        <w:t xml:space="preserve">        At a higher level, segmentation extends into cooperative and industrial integration. Projects such as Sawadee—Adventures in Thailand combine micro-series production, tourism promotion, and trade, transforming audiences into participants across experiential chains. Comparable practices in Yunnan’s Myanmar-oriented communication further demonstrate the synergy between warm power and regional development.</w:t>
      </w:r>
    </w:p>
    <w:p w14:paraId="63BDB8B4" w14:textId="77777777" w:rsidR="001D1C02" w:rsidRDefault="00000000">
      <w:pPr>
        <w:pStyle w:val="Content"/>
        <w:rPr>
          <w:b/>
          <w:bCs/>
          <w:i/>
          <w:iCs/>
        </w:rPr>
      </w:pPr>
      <w:r>
        <w:rPr>
          <w:rFonts w:hint="eastAsia"/>
          <w:b/>
          <w:bCs/>
          <w:i/>
          <w:iCs/>
          <w:lang w:eastAsia="zh-CN"/>
        </w:rPr>
        <w:t>3</w:t>
      </w:r>
      <w:r>
        <w:rPr>
          <w:b/>
          <w:bCs/>
          <w:i/>
          <w:iCs/>
        </w:rPr>
        <w:t>) “Warm Interaction” Strategies</w:t>
      </w:r>
    </w:p>
    <w:p w14:paraId="0063B74C" w14:textId="77777777" w:rsidR="001D1C02" w:rsidRDefault="00000000">
      <w:pPr>
        <w:spacing w:after="0" w:line="20" w:lineRule="atLeast"/>
        <w:jc w:val="thaiDistribute"/>
        <w:rPr>
          <w:rFonts w:ascii="TH Sarabun New" w:hAnsi="TH Sarabun New" w:cs="TH Sarabun New"/>
          <w:sz w:val="28"/>
        </w:rPr>
      </w:pPr>
      <w:r>
        <w:rPr>
          <w:rFonts w:ascii="TH Sarabun New" w:hAnsi="TH Sarabun New" w:cs="TH Sarabun New"/>
          <w:sz w:val="28"/>
        </w:rPr>
        <w:t xml:space="preserve">        Warm power ultimately materializes through lived interaction. Guangxi operationalizes warm interaction via three mechanisms. Flash events and co-creation—such as the Bangkok street performance of New Folk Song Gala—generate intense shared emotional experiences and amplify them through social media circulation (Wei, 2024). Professional mutual learning initiatives foster peer trust through journalist training and intangible cultural heritage exchanges. Immersive visits invite Thai media professionals and influencers to experience Guangxi firsthand, transferring narrative agency to credible first-person storytellers.</w:t>
      </w:r>
    </w:p>
    <w:p w14:paraId="0C7B934A" w14:textId="77777777" w:rsidR="001D1C02" w:rsidRDefault="00000000">
      <w:pPr>
        <w:spacing w:after="0" w:line="20" w:lineRule="atLeast"/>
        <w:jc w:val="thaiDistribute"/>
        <w:rPr>
          <w:rFonts w:ascii="TH Sarabun New" w:hAnsi="TH Sarabun New" w:cs="TH Sarabun New"/>
          <w:sz w:val="28"/>
          <w:lang w:eastAsia="zh-CN"/>
        </w:rPr>
      </w:pPr>
      <w:r>
        <w:rPr>
          <w:rFonts w:ascii="TH Sarabun New" w:hAnsi="TH Sarabun New" w:cs="TH Sarabun New"/>
          <w:sz w:val="28"/>
        </w:rPr>
        <w:t xml:space="preserve">        Together, these practices complete the transition from information transmission to relationship construction. Parallel developments in Yunnan’s Myanmar-oriented communication confirm that warm interaction is essential for affective community formation.</w:t>
      </w:r>
    </w:p>
    <w:p w14:paraId="7BCE2598" w14:textId="77777777" w:rsidR="001D1C02" w:rsidRDefault="001D1C02">
      <w:pPr>
        <w:spacing w:after="0" w:line="20" w:lineRule="atLeast"/>
        <w:jc w:val="thaiDistribute"/>
        <w:rPr>
          <w:rFonts w:ascii="TH Sarabun New" w:hAnsi="TH Sarabun New" w:cs="TH Sarabun New"/>
          <w:sz w:val="28"/>
          <w:lang w:eastAsia="zh-CN"/>
        </w:rPr>
      </w:pPr>
    </w:p>
    <w:p w14:paraId="2E852AC7" w14:textId="77777777" w:rsidR="001D1C02" w:rsidRDefault="00000000">
      <w:pPr>
        <w:spacing w:after="0" w:line="20" w:lineRule="atLeast"/>
        <w:jc w:val="thaiDistribute"/>
        <w:rPr>
          <w:rFonts w:ascii="TH Sarabun New" w:hAnsi="TH Sarabun New" w:cs="TH Sarabun New"/>
          <w:sz w:val="28"/>
          <w:lang w:eastAsia="zh-CN"/>
        </w:rPr>
      </w:pPr>
      <w:r>
        <w:rPr>
          <w:rFonts w:ascii="TH Sarabun New" w:hAnsi="TH Sarabun New" w:cs="TH Sarabun New" w:hint="eastAsia"/>
          <w:b/>
          <w:bCs/>
          <w:sz w:val="28"/>
          <w:lang w:eastAsia="zh-CN"/>
        </w:rPr>
        <w:t xml:space="preserve">       </w:t>
      </w:r>
      <w:r>
        <w:rPr>
          <w:rFonts w:ascii="TH Sarabun New" w:hAnsi="TH Sarabun New" w:cs="TH Sarabun New"/>
          <w:b/>
          <w:bCs/>
          <w:sz w:val="28"/>
          <w:lang w:eastAsia="zh-CN"/>
        </w:rPr>
        <w:t>Effect Evolution: From Image Display to Affective Community Construction</w:t>
      </w:r>
    </w:p>
    <w:p w14:paraId="45C6D482" w14:textId="77777777" w:rsidR="001D1C02" w:rsidRDefault="00000000">
      <w:pPr>
        <w:spacing w:after="0" w:line="20" w:lineRule="atLeast"/>
        <w:jc w:val="thaiDistribute"/>
        <w:rPr>
          <w:rFonts w:ascii="TH Sarabun New" w:hAnsi="TH Sarabun New" w:cs="TH Sarabun New"/>
          <w:sz w:val="28"/>
        </w:rPr>
      </w:pPr>
      <w:r>
        <w:rPr>
          <w:rFonts w:ascii="TH Sarabun New" w:hAnsi="TH Sarabun New" w:cs="TH Sarabun New"/>
          <w:sz w:val="28"/>
        </w:rPr>
        <w:t xml:space="preserve">        Guangxi’s Thailand-oriented communication effects exhibit a staged evolutionary trajectory. In the initial stage, depoliticized lifestyle content enhances visibility and acceptability, generating cognitive goodwill (Nye, 2004</w:t>
      </w:r>
      <w:proofErr w:type="gramStart"/>
      <w:r>
        <w:rPr>
          <w:rFonts w:ascii="TH Sarabun New" w:hAnsi="TH Sarabun New" w:cs="TH Sarabun New"/>
          <w:sz w:val="28"/>
        </w:rPr>
        <w:t>; )</w:t>
      </w:r>
      <w:proofErr w:type="gramEnd"/>
      <w:r>
        <w:rPr>
          <w:rFonts w:ascii="TH Sarabun New" w:hAnsi="TH Sarabun New" w:cs="TH Sarabun New"/>
          <w:sz w:val="28"/>
        </w:rPr>
        <w:t>. Interaction remains low-involvement. In the intermediate stage, Thai-localized narratives and two-way engagement deepen affective identification through perceived similarity and participatory interaction (Hall, 1997; Jenkins et al., 2013). Audiences begin to seek further engagement, such as travel information and cultural participation.</w:t>
      </w:r>
    </w:p>
    <w:p w14:paraId="77D34C40" w14:textId="77777777" w:rsidR="001D1C02" w:rsidRDefault="00000000">
      <w:pPr>
        <w:spacing w:after="0" w:line="20" w:lineRule="atLeast"/>
        <w:jc w:val="thaiDistribute"/>
        <w:rPr>
          <w:rFonts w:ascii="TH Sarabun New" w:hAnsi="TH Sarabun New" w:cs="TH Sarabun New"/>
          <w:sz w:val="28"/>
        </w:rPr>
      </w:pPr>
      <w:r>
        <w:rPr>
          <w:rFonts w:ascii="TH Sarabun New" w:hAnsi="TH Sarabun New" w:cs="TH Sarabun New"/>
          <w:sz w:val="28"/>
        </w:rPr>
        <w:t xml:space="preserve">        In the advanced stage, sustained interaction fosters affective communities. Audiences participate in meaning production, adopt inclusive “we” narratives, and form emotionally grounded networks. Comparable developments in Yunnan—such as the paukphaw discourse in Myanmar-oriented communication—demonstrate that such outcomes exceed traditional soft power and align with warm power’s relational logic.</w:t>
      </w:r>
    </w:p>
    <w:p w14:paraId="002128F7" w14:textId="77777777" w:rsidR="001D1C02" w:rsidRDefault="00000000">
      <w:pPr>
        <w:spacing w:after="0" w:line="20" w:lineRule="atLeast"/>
        <w:jc w:val="thaiDistribute"/>
        <w:rPr>
          <w:rFonts w:ascii="TH Sarabun New" w:hAnsi="TH Sarabun New" w:cs="TH Sarabun New"/>
          <w:sz w:val="28"/>
          <w:lang w:eastAsia="zh-CN"/>
        </w:rPr>
      </w:pPr>
      <w:r>
        <w:rPr>
          <w:rFonts w:ascii="TH Sarabun New" w:hAnsi="TH Sarabun New" w:cs="TH Sarabun New"/>
          <w:sz w:val="28"/>
        </w:rPr>
        <w:t xml:space="preserve">        Overall, this effect evolution underscores local media’s distinctive advantage in international communication: influence derives not from scale, but from sustained affective depth. Precision-oriented, localized, and interaction-driven practices enable China’s international communication to shift from image presentation toward durable relationship construction.</w:t>
      </w:r>
    </w:p>
    <w:p w14:paraId="132D4CFF" w14:textId="77777777" w:rsidR="001D1C02" w:rsidRDefault="001D1C02">
      <w:pPr>
        <w:spacing w:after="0" w:line="20" w:lineRule="atLeast"/>
        <w:jc w:val="both"/>
        <w:rPr>
          <w:rFonts w:ascii="TH Sarabun New" w:hAnsi="TH Sarabun New" w:cs="TH Sarabun New"/>
          <w:b/>
          <w:bCs/>
          <w:sz w:val="28"/>
        </w:rPr>
      </w:pPr>
    </w:p>
    <w:p w14:paraId="4BEF8E21" w14:textId="77777777" w:rsidR="001D1C02" w:rsidRDefault="00000000">
      <w:pPr>
        <w:pStyle w:val="Section"/>
      </w:pPr>
      <w:r>
        <w:t>DISCUSSION AND CONCLUSION</w:t>
      </w:r>
    </w:p>
    <w:p w14:paraId="402C78BD" w14:textId="77777777" w:rsidR="001D1C02" w:rsidRDefault="00000000">
      <w:pPr>
        <w:pStyle w:val="Content"/>
      </w:pPr>
      <w:r>
        <w:lastRenderedPageBreak/>
        <w:t>In the social media context, Guangxi mainstream media’s Thailand-oriented communication proves that local media can construct warm power via audience segmentation and affective narratives. However, warm power does not emerge spontaneously; its formation is constrained by multiple structural factors, with implications for both practice and institution-building, as well as directions for future research.</w:t>
      </w:r>
    </w:p>
    <w:p w14:paraId="0520B42B" w14:textId="77777777" w:rsidR="001D1C02" w:rsidRDefault="00000000">
      <w:pPr>
        <w:pStyle w:val="Content"/>
      </w:pPr>
      <w:r>
        <w:t>Practical Challenges in Warm Power Construction</w:t>
      </w:r>
    </w:p>
    <w:p w14:paraId="52AC905D" w14:textId="77777777" w:rsidR="001D1C02" w:rsidRDefault="00000000">
      <w:pPr>
        <w:pStyle w:val="Content"/>
      </w:pPr>
      <w:r>
        <w:t>First, sustaining affective communication is a key challenge. Unlike agenda-setting or image-oriented models, affective community building relies on long-term, stable, and high-frequency interaction, demanding continuous investment in human resources, production capacity, and cross-cultural expertise. Weakened interaction or homogenized content can dissipate emergent affective ties and hinder warm power accumulation (</w:t>
      </w:r>
      <w:r>
        <w:rPr>
          <w:rFonts w:hint="eastAsia"/>
          <w:lang w:eastAsia="zh-CN"/>
        </w:rPr>
        <w:t>Couldry &amp; Hepp, 2018</w:t>
      </w:r>
      <w:r>
        <w:rPr>
          <w:rFonts w:cs="Angsana New"/>
          <w:cs/>
        </w:rPr>
        <w:t>)</w:t>
      </w:r>
      <w:r>
        <w:t>, a challenge observable in both Guangxi-Thailand and Yunnan-Myanmar communication practices.</w:t>
      </w:r>
    </w:p>
    <w:p w14:paraId="412B2936" w14:textId="77777777" w:rsidR="001D1C02" w:rsidRDefault="00000000">
      <w:pPr>
        <w:pStyle w:val="Content"/>
      </w:pPr>
      <w:r>
        <w:t>Second, structural tension exists between depoliticized narratives and national position articulation. While localized, everyday narratives boost audience intimacy, excessive depoliticization may marginalize national discourse, and overt political messaging risks eroding affect-based trust. This inherent dilemma in local media’s international communication cannot be resolved by singular strategies</w:t>
      </w:r>
      <w:r>
        <w:rPr>
          <w:rFonts w:hint="eastAsia"/>
          <w:lang w:eastAsia="zh-CN"/>
        </w:rPr>
        <w:t xml:space="preserve"> (Sun, 2015)</w:t>
      </w:r>
      <w:r>
        <w:rPr>
          <w:rFonts w:ascii="TH SarabunPSK" w:hAnsi="TH SarabunPSK" w:cs="TH SarabunPSK" w:hint="cs"/>
          <w:cs/>
        </w:rPr>
        <w:t>.</w:t>
      </w:r>
    </w:p>
    <w:p w14:paraId="2FD8C5E6" w14:textId="77777777" w:rsidR="001D1C02" w:rsidRDefault="00000000">
      <w:pPr>
        <w:pStyle w:val="Content"/>
      </w:pPr>
      <w:r>
        <w:t>Third, platform algorithms impose external constraints. Recommendation systems prioritize high-emotion, fast-feedback content, facilitating short-term diffusion but undermining narrative depth and relational continuity—risking reducing warm power to episodic emotional stimulation rather than sustained relational construction. Additionally, Western platform dominance and algorithmic suppression of Chinese content further limit the effectiveness of local media like those in Guangxi and Yunnan.</w:t>
      </w:r>
    </w:p>
    <w:p w14:paraId="2A2CD4C2" w14:textId="77777777" w:rsidR="001D1C02" w:rsidRDefault="00000000">
      <w:pPr>
        <w:pStyle w:val="Content"/>
      </w:pPr>
      <w:r>
        <w:t>Finally, limited extraterritorial knowledge and talent shortages impede precision communication. Insufficient understanding of Southeast Asian politics, culture, and society may cause content-audience mismatches, while gaps in interdisciplinary professionals with cross-cultural and media expertise undermine the quality and sustainability of warm power construction—a common challenge for local media targeting Southeast Asia.</w:t>
      </w:r>
    </w:p>
    <w:p w14:paraId="14EAE5E7" w14:textId="77777777" w:rsidR="001D1C02" w:rsidRDefault="001D1C02">
      <w:pPr>
        <w:pStyle w:val="Content"/>
      </w:pPr>
    </w:p>
    <w:p w14:paraId="12829714" w14:textId="77777777" w:rsidR="001D1C02" w:rsidRDefault="00000000">
      <w:pPr>
        <w:pStyle w:val="Content"/>
        <w:rPr>
          <w:b/>
          <w:bCs/>
        </w:rPr>
      </w:pPr>
      <w:r>
        <w:rPr>
          <w:b/>
          <w:bCs/>
        </w:rPr>
        <w:t>Institutional Implications and Core Findings</w:t>
      </w:r>
    </w:p>
    <w:p w14:paraId="36EA8AAC" w14:textId="77777777" w:rsidR="001D1C02" w:rsidRDefault="00000000">
      <w:pPr>
        <w:pStyle w:val="Content"/>
        <w:rPr>
          <w:rFonts w:ascii="TH SarabunPSK" w:hAnsi="TH SarabunPSK" w:cs="TH SarabunPSK"/>
        </w:rPr>
      </w:pPr>
      <w:r>
        <w:rPr>
          <w:rFonts w:ascii="TH SarabunPSK" w:hAnsi="TH SarabunPSK" w:cs="TH SarabunPSK" w:hint="cs"/>
        </w:rPr>
        <w:t xml:space="preserve">Despite these challenges, Guangxi and Yunnan’s experiences provide key institutional insights: local media can act as “affective interfaces” in China’s international communication system. Compared to central media’s macro-narrative focus, local media excel at fostering emotional connections through everyday cultural practices, playing a foundational mediating role in regional communication. This multi-level division of labor enhances national communication resilience (Sun, </w:t>
      </w:r>
      <w:r>
        <w:rPr>
          <w:rFonts w:ascii="TH SarabunPSK" w:hAnsi="TH SarabunPSK" w:cs="TH SarabunPSK" w:hint="cs"/>
          <w:cs/>
        </w:rPr>
        <w:t>201</w:t>
      </w:r>
      <w:r>
        <w:rPr>
          <w:rFonts w:ascii="TH SarabunPSK" w:hAnsi="TH SarabunPSK" w:cs="TH SarabunPSK" w:hint="eastAsia"/>
          <w:lang w:eastAsia="zh-CN"/>
        </w:rPr>
        <w:t>5</w:t>
      </w:r>
      <w:r>
        <w:rPr>
          <w:rFonts w:ascii="TH SarabunPSK" w:hAnsi="TH SarabunPSK" w:cs="TH SarabunPSK" w:hint="cs"/>
          <w:cs/>
        </w:rPr>
        <w:t>).</w:t>
      </w:r>
    </w:p>
    <w:p w14:paraId="5ED6A8FF" w14:textId="77777777" w:rsidR="001D1C02" w:rsidRDefault="00000000">
      <w:pPr>
        <w:pStyle w:val="Content"/>
      </w:pPr>
      <w:r>
        <w:t>The warm power framework also requires recalibrating international communication evaluation metrics. Traditional indicators (exposure, click-through rates, short-term attitude changes) fail to capture relational effects; instead, interaction continuity, relationship stability, and affective depth are more suitable for assessing affective community formation—with implications for national-level evaluation systems.</w:t>
      </w:r>
    </w:p>
    <w:p w14:paraId="6C1E2789" w14:textId="77777777" w:rsidR="001D1C02" w:rsidRDefault="00000000">
      <w:pPr>
        <w:pStyle w:val="Content"/>
      </w:pPr>
      <w:r>
        <w:t>Practically, local media should leverage geographical and cultural proximity by strengthening extraterritorial research, deepening cooperation with Southeast Asian media, and advancing media convergence via AI-assisted translation and audience analysis to enhance localization accuracy, credibility, and precision.</w:t>
      </w:r>
    </w:p>
    <w:p w14:paraId="5BDF97FF" w14:textId="77777777" w:rsidR="001D1C02" w:rsidRDefault="00000000">
      <w:pPr>
        <w:pStyle w:val="Content"/>
      </w:pPr>
      <w:r>
        <w:t xml:space="preserve">The core findings of this study are as follows: Amid social media-driven global communication shifts, China’s external communication is moving from grand to everyday narratives and from image construction to relationship building. Through Thai-localized narratives and audience-segmented content, Guangxi mainstream media have </w:t>
      </w:r>
      <w:r>
        <w:lastRenderedPageBreak/>
        <w:t>reduced cross-cultural barriers, with outcomes extending beyond image display to foster affective identification and initial cross-cultural affective community formation.</w:t>
      </w:r>
    </w:p>
    <w:p w14:paraId="2BD6FAC3" w14:textId="77777777" w:rsidR="001D1C02" w:rsidRDefault="00000000">
      <w:pPr>
        <w:pStyle w:val="Content"/>
      </w:pPr>
      <w:r>
        <w:t>Theoretically, this study proposes the concept of warm power as relational influence, emphasizing local media’s long-term impact mechanism via affective interaction. The relational effect–evolution model addresses limitations of outcome-oriented research by integrating affective and relational dimensions into international communication analysis. Practically, local mainstream media are not peripheral actors; their advantages in regional proximity and everyday affective connectivity inject warm power into China’s international communication system.</w:t>
      </w:r>
    </w:p>
    <w:p w14:paraId="715EDE9B" w14:textId="77777777" w:rsidR="001D1C02" w:rsidRDefault="001D1C02">
      <w:pPr>
        <w:pStyle w:val="Content"/>
      </w:pPr>
    </w:p>
    <w:p w14:paraId="5F8EE35B" w14:textId="77777777" w:rsidR="001D1C02" w:rsidRDefault="00000000">
      <w:pPr>
        <w:pStyle w:val="Content"/>
        <w:rPr>
          <w:b/>
          <w:bCs/>
        </w:rPr>
      </w:pPr>
      <w:r>
        <w:rPr>
          <w:b/>
          <w:bCs/>
        </w:rPr>
        <w:t>Study Limitations and Future Directions</w:t>
      </w:r>
    </w:p>
    <w:p w14:paraId="07B50E6D" w14:textId="77777777" w:rsidR="001D1C02" w:rsidRDefault="00000000">
      <w:pPr>
        <w:pStyle w:val="Content"/>
      </w:pPr>
      <w:r>
        <w:t>This study has limitations: it focuses primarily on Guangxi-Thailand communication (with Yunnan-Myanmar practices as a reference), leaving regional variations and cultural distance factors underexplored; moreover, it relies mainly on content and discourse analysis, with insufficient examination of audience-level affective identification mechanisms.</w:t>
      </w:r>
    </w:p>
    <w:p w14:paraId="47F72272" w14:textId="77777777" w:rsidR="001D1C02" w:rsidRDefault="00000000">
      <w:pPr>
        <w:pStyle w:val="Content"/>
      </w:pPr>
      <w:r>
        <w:t>Future research can proceed in three directions: first, cross-regional comparative studies (e.g., Guangxi-Thailand, Yunnan-Myanmar, Guangdong-core ASEAN countries) to test warm power’s applicability across contexts; second, micro-level analyses of affective community interaction mechanisms, combining big data analytics with qualitative methods to identify key processes and nodes in warm power generation; third, integrating warm power into broader international communication theory discussions (especially public and cultural diplomacy) to contribute to an autonomous Chinese knowledge framework.</w:t>
      </w:r>
    </w:p>
    <w:p w14:paraId="6EF147C1" w14:textId="77777777" w:rsidR="001D1C02" w:rsidRDefault="00000000">
      <w:pPr>
        <w:pStyle w:val="Content"/>
        <w:rPr>
          <w:lang w:eastAsia="zh-CN"/>
        </w:rPr>
      </w:pPr>
      <w:r>
        <w:t>Finally, looking ahead, the value of local media lies not in replicating grand narratives but in transforming cultural identification into relational identification through sustained affective interaction. This pathway enhances communication effect stability and offers a new perspective for advancing China’s cultural outreach from soft power to warm power.</w:t>
      </w:r>
    </w:p>
    <w:p w14:paraId="395A96DF" w14:textId="77777777" w:rsidR="001D1C02" w:rsidRDefault="001D1C02">
      <w:pPr>
        <w:spacing w:after="0" w:line="20" w:lineRule="atLeast"/>
        <w:jc w:val="both"/>
        <w:rPr>
          <w:rFonts w:ascii="TH Sarabun New" w:hAnsi="TH Sarabun New" w:cs="TH Sarabun New"/>
          <w:sz w:val="28"/>
        </w:rPr>
      </w:pPr>
    </w:p>
    <w:p w14:paraId="635AC83E" w14:textId="77777777" w:rsidR="001D1C02" w:rsidRDefault="00000000">
      <w:pPr>
        <w:pStyle w:val="Section"/>
      </w:pPr>
      <w:r>
        <w:t xml:space="preserve">LIMITATIONS AND RECOMMENDATIONS </w:t>
      </w:r>
    </w:p>
    <w:p w14:paraId="2CC0ED8F" w14:textId="77777777" w:rsidR="001D1C02" w:rsidRDefault="00000000">
      <w:pPr>
        <w:pStyle w:val="Content"/>
        <w:jc w:val="thaiDistribute"/>
        <w:rPr>
          <w:b/>
          <w:bCs/>
        </w:rPr>
      </w:pPr>
      <w:r>
        <w:rPr>
          <w:b/>
          <w:bCs/>
        </w:rPr>
        <w:t>1. Limitations</w:t>
      </w:r>
    </w:p>
    <w:p w14:paraId="0066442B" w14:textId="77777777" w:rsidR="001D1C02" w:rsidRDefault="00000000">
      <w:pPr>
        <w:pStyle w:val="Content"/>
        <w:jc w:val="thaiDistribute"/>
      </w:pPr>
      <w:r>
        <w:t>Several limitations of this study should be acknowledged.</w:t>
      </w:r>
    </w:p>
    <w:p w14:paraId="6E51E874" w14:textId="77777777" w:rsidR="001D1C02" w:rsidRDefault="00000000">
      <w:pPr>
        <w:pStyle w:val="Content"/>
        <w:jc w:val="thaiDistribute"/>
      </w:pPr>
      <w:r>
        <w:t>1.1 The research focuses primarily on Guangxi’s Thailand-oriented international communication, with Yunnan’s Myanmar-oriented practices serving only as a comparative reference. While this design allows for in-depth contextual analysis, it limits the generalizability of findings across other Chinese provinces or ASEAN countries with differing cultural distances, media environments, and political sensitivities.</w:t>
      </w:r>
    </w:p>
    <w:p w14:paraId="574FAB3E" w14:textId="77777777" w:rsidR="001D1C02" w:rsidRDefault="00000000">
      <w:pPr>
        <w:pStyle w:val="Content"/>
        <w:ind w:firstLine="0"/>
        <w:jc w:val="thaiDistribute"/>
      </w:pPr>
      <w:r>
        <w:t xml:space="preserve">      1.2 The study relies mainly on qualitative content and discourse analysis, emphasizing communicative strategies and institutional practices. As a result, it does not directly measure audience reception, emotional identification, or behavioral change at the individual level. The affective impact of warm power is therefore inferred from communicative patterns rather than empirically tested through audience surveys or experiments.</w:t>
      </w:r>
    </w:p>
    <w:p w14:paraId="2669508D" w14:textId="77777777" w:rsidR="001D1C02" w:rsidRDefault="00000000">
      <w:pPr>
        <w:pStyle w:val="Content"/>
        <w:ind w:firstLine="0"/>
        <w:jc w:val="thaiDistribute"/>
      </w:pPr>
      <w:r>
        <w:t xml:space="preserve">      1.3 Platform algorithms and data access constraints restrict insight into the full circulation dynamics of overseas social media content. Engagement metrics such as reach, recommendation logic, and algorithmic filtering cannot be comprehensively analyzed using publicly available data, which may obscure certain dimensions of communication effectiveness.</w:t>
      </w:r>
    </w:p>
    <w:p w14:paraId="314401B2" w14:textId="77777777" w:rsidR="001D1C02" w:rsidRDefault="00000000">
      <w:pPr>
        <w:pStyle w:val="Content"/>
        <w:jc w:val="thaiDistribute"/>
        <w:rPr>
          <w:b/>
          <w:bCs/>
        </w:rPr>
      </w:pPr>
      <w:r>
        <w:rPr>
          <w:b/>
          <w:bCs/>
        </w:rPr>
        <w:t>2. Recommendations for Future Research</w:t>
      </w:r>
    </w:p>
    <w:p w14:paraId="1901E6A7" w14:textId="77777777" w:rsidR="001D1C02" w:rsidRDefault="00000000">
      <w:pPr>
        <w:pStyle w:val="Content"/>
        <w:jc w:val="thaiDistribute"/>
      </w:pPr>
      <w:r>
        <w:t>Future research can extend this study in several directions.</w:t>
      </w:r>
    </w:p>
    <w:p w14:paraId="78FA581A" w14:textId="77777777" w:rsidR="001D1C02" w:rsidRDefault="00000000">
      <w:pPr>
        <w:pStyle w:val="Content"/>
        <w:jc w:val="thaiDistribute"/>
      </w:pPr>
      <w:r>
        <w:lastRenderedPageBreak/>
        <w:t>2.1 Cross-regional and cross-national comparative studies are recommended. Expanding analysis to include provinces such as Guangdong or Fujian, or comparing China’s communication with multiple ASEAN countries, would allow for systematic examination of how cultural proximity, political context, and media ecology shape warm power construction.</w:t>
      </w:r>
    </w:p>
    <w:p w14:paraId="3712C991" w14:textId="77777777" w:rsidR="001D1C02" w:rsidRDefault="00000000">
      <w:pPr>
        <w:pStyle w:val="Content"/>
        <w:jc w:val="thaiDistribute"/>
      </w:pPr>
      <w:r>
        <w:t>2.2 Future studies should incorporate audience-centered methodologies, such as surveys, in-depth interviews, or digital ethnography, to empirically examine affective identification, trust formation, and participatory behavior among target audiences. Such approaches would strengthen causal explanations of warm power mechanisms.</w:t>
      </w:r>
    </w:p>
    <w:p w14:paraId="66CB9DB5" w14:textId="77777777" w:rsidR="001D1C02" w:rsidRDefault="00000000">
      <w:pPr>
        <w:pStyle w:val="Content"/>
        <w:jc w:val="thaiDistribute"/>
      </w:pPr>
      <w:r>
        <w:t>2.3 Integrating computational methods and big data analytics—including sentiment analysis, network analysis, and interaction pattern mapping—would help reveal micro-level affective dynamics and diffusion pathways within platform-based communication ecosystems.</w:t>
      </w:r>
    </w:p>
    <w:p w14:paraId="2C6E2762" w14:textId="77777777" w:rsidR="001D1C02" w:rsidRDefault="00000000">
      <w:pPr>
        <w:pStyle w:val="Content"/>
        <w:ind w:firstLine="0"/>
        <w:jc w:val="thaiDistribute"/>
      </w:pPr>
      <w:r>
        <w:t xml:space="preserve">     2.4 Further theoretical work is needed to embed warm power within broader frameworks of public diplomacy, cultural diplomacy, and international communication theory, thereby contributing to the development of a more autonomous and systematic analytical paradigm rooted in China’s regional communication practices.</w:t>
      </w:r>
    </w:p>
    <w:p w14:paraId="18E9B365" w14:textId="77777777" w:rsidR="001D1C02" w:rsidRDefault="001D1C02">
      <w:pPr>
        <w:spacing w:after="0" w:line="20" w:lineRule="atLeast"/>
        <w:jc w:val="both"/>
        <w:rPr>
          <w:rFonts w:ascii="TH Sarabun New" w:hAnsi="TH Sarabun New" w:cs="TH Sarabun New"/>
          <w:b/>
          <w:bCs/>
          <w:sz w:val="28"/>
        </w:rPr>
      </w:pPr>
    </w:p>
    <w:p w14:paraId="5893E688" w14:textId="77777777" w:rsidR="001D1C02" w:rsidRDefault="00000000">
      <w:pPr>
        <w:pStyle w:val="Section"/>
      </w:pPr>
      <w:r>
        <w:t>REFERENCES</w:t>
      </w:r>
    </w:p>
    <w:p w14:paraId="3CFFDC21" w14:textId="77777777" w:rsidR="001D1C02" w:rsidRDefault="00000000">
      <w:pPr>
        <w:pStyle w:val="Section"/>
        <w:ind w:left="480" w:hangingChars="200" w:hanging="480"/>
        <w:jc w:val="thaiDistribute"/>
        <w:rPr>
          <w:b w:val="0"/>
          <w:bCs w:val="0"/>
          <w:sz w:val="24"/>
          <w:szCs w:val="24"/>
        </w:rPr>
      </w:pPr>
      <w:r>
        <w:rPr>
          <w:rFonts w:hint="cs"/>
          <w:b w:val="0"/>
          <w:bCs w:val="0"/>
          <w:sz w:val="24"/>
          <w:szCs w:val="24"/>
        </w:rPr>
        <w:t>An, K. X., &amp; Huang, D. L. (2025). “Global South” perspective: Paradigm evolution, knowledge supply, and strategy generation in international communication research. Guowai Chuanbo [International Communication], (12), 26-30. https://doi.org/10.26948/j.cnki.dwcb.2025.12.008</w:t>
      </w:r>
    </w:p>
    <w:p w14:paraId="3EACA6F8" w14:textId="77777777" w:rsidR="001D1C02" w:rsidRDefault="00000000">
      <w:pPr>
        <w:pStyle w:val="NormalWeb"/>
        <w:spacing w:before="0" w:beforeAutospacing="0" w:after="0" w:afterAutospacing="0"/>
        <w:ind w:left="480" w:hangingChars="200" w:hanging="480"/>
        <w:jc w:val="thaiDistribute"/>
        <w:rPr>
          <w:rFonts w:ascii="TH SarabunPSK" w:hAnsi="TH SarabunPSK" w:cs="TH SarabunPSK"/>
        </w:rPr>
      </w:pPr>
      <w:r>
        <w:rPr>
          <w:rFonts w:ascii="TH SarabunPSK" w:hAnsi="TH SarabunPSK" w:cs="TH SarabunPSK" w:hint="cs"/>
        </w:rPr>
        <w:t>Beck, U. (2009).</w:t>
      </w:r>
      <w:r>
        <w:rPr>
          <w:rStyle w:val="apple-converted-space"/>
          <w:rFonts w:ascii="TH SarabunPSK" w:hAnsi="TH SarabunPSK" w:cs="TH SarabunPSK" w:hint="cs"/>
        </w:rPr>
        <w:t> </w:t>
      </w:r>
      <w:r>
        <w:rPr>
          <w:rStyle w:val="Emphasis"/>
          <w:rFonts w:ascii="TH SarabunPSK" w:hAnsi="TH SarabunPSK" w:cs="TH SarabunPSK" w:hint="cs"/>
        </w:rPr>
        <w:t>World at risk</w:t>
      </w:r>
      <w:r>
        <w:rPr>
          <w:rFonts w:ascii="TH SarabunPSK" w:hAnsi="TH SarabunPSK" w:cs="TH SarabunPSK" w:hint="cs"/>
        </w:rPr>
        <w:t>. Polity Press.</w:t>
      </w:r>
    </w:p>
    <w:p w14:paraId="008E4ECA" w14:textId="77777777" w:rsidR="001D1C02" w:rsidRDefault="00000000">
      <w:pPr>
        <w:pStyle w:val="NormalWeb"/>
        <w:spacing w:before="0" w:beforeAutospacing="0" w:after="0" w:afterAutospacing="0"/>
        <w:ind w:left="480" w:hangingChars="200" w:hanging="480"/>
        <w:jc w:val="thaiDistribute"/>
        <w:rPr>
          <w:rFonts w:ascii="TH SarabunPSK" w:hAnsi="TH SarabunPSK" w:cs="TH SarabunPSK"/>
        </w:rPr>
      </w:pPr>
      <w:r>
        <w:rPr>
          <w:rFonts w:ascii="TH SarabunPSK" w:hAnsi="TH SarabunPSK" w:cs="TH SarabunPSK" w:hint="cs"/>
        </w:rPr>
        <w:t>Chen, X. H., &amp; Li, W. C. (2025). Zhongguo shi xian dai hua xu shi: Guan jian wen ti, he xin hua yu yu guo ji chuan bo (in Chinese). [Chinese-style modernization narrative: Key issues, core discourses, and international communication]. Xiandai Chuanbo (Journal of Communication University of China), 47(2). https://doi.org/10.19997/j.cnki.xdcb.2025.02.013</w:t>
      </w:r>
    </w:p>
    <w:p w14:paraId="6E7154ED" w14:textId="77777777" w:rsidR="001D1C02" w:rsidRDefault="00000000">
      <w:pPr>
        <w:pStyle w:val="NormalWeb"/>
        <w:spacing w:before="0" w:beforeAutospacing="0" w:after="0" w:afterAutospacing="0"/>
        <w:ind w:left="480" w:hangingChars="200" w:hanging="480"/>
        <w:jc w:val="thaiDistribute"/>
        <w:rPr>
          <w:rFonts w:ascii="TH SarabunPSK" w:hAnsi="TH SarabunPSK" w:cs="TH SarabunPSK"/>
        </w:rPr>
      </w:pPr>
      <w:r>
        <w:rPr>
          <w:rFonts w:ascii="TH SarabunPSK" w:hAnsi="TH SarabunPSK" w:cs="TH SarabunPSK" w:hint="cs"/>
        </w:rPr>
        <w:t>Couldry, N., &amp; Hepp, A. (2018). The mediated construction of reality. John Wiley &amp; Sons.</w:t>
      </w:r>
    </w:p>
    <w:p w14:paraId="0CD3F51F" w14:textId="77777777" w:rsidR="001D1C02" w:rsidRDefault="00000000">
      <w:pPr>
        <w:pStyle w:val="NormalWeb"/>
        <w:spacing w:before="0" w:beforeAutospacing="0" w:after="0" w:afterAutospacing="0"/>
        <w:ind w:left="480" w:hangingChars="200" w:hanging="480"/>
        <w:jc w:val="thaiDistribute"/>
        <w:rPr>
          <w:rFonts w:ascii="TH SarabunPSK" w:hAnsi="TH SarabunPSK" w:cs="TH SarabunPSK"/>
        </w:rPr>
      </w:pPr>
      <w:r>
        <w:rPr>
          <w:rFonts w:ascii="TH SarabunPSK" w:hAnsi="TH SarabunPSK" w:cs="TH SarabunPSK" w:hint="cs"/>
        </w:rPr>
        <w:t>Du, Y. B. (2024). Yi ge chuan qing: Guo ji chuan bo zhong "nuan shi li" shi jian tan suo —— yi 《Yu jian - Fa guo pian》 zhu ti qu 《Ru guo wo qu zhong guo》 wei li (in Chinese). [Conveying affection through songs: An exploration of "Warm Power" practice in international communication — Taking the theme song If I Go to China from Meeting - France Chapter as an example]. Dianshi Yanjiu (TV Research), (3), 34-37. https://kns.cnki.net/kcms2/article/abstract?v=Ap1IM-J3Ck2H8tZaK5NzUepTmDM_DZe2mYkVXdMjjgUCK-ZOCTL5HtX-03EgvBt2lyb07G9Vv_nGDYXSxW8IC0G_KeopghiS5tWNDMGrikkGCWNURfj1hA9uJtP6ksfaFXa6sYQdmOCQVMT6OrgaDfUBIX_NfKa2aj7djiJaV-Uas3XuE6B5Bw==&amp;uniplatform=NZKPT&amp;language=CHS</w:t>
      </w:r>
    </w:p>
    <w:p w14:paraId="3A6F705E" w14:textId="77777777" w:rsidR="001D1C02" w:rsidRDefault="00000000">
      <w:pPr>
        <w:pStyle w:val="NormalWeb"/>
        <w:spacing w:before="0" w:beforeAutospacing="0" w:after="0" w:afterAutospacing="0"/>
        <w:ind w:left="480" w:hangingChars="200" w:hanging="480"/>
        <w:jc w:val="thaiDistribute"/>
        <w:rPr>
          <w:rFonts w:ascii="TH SarabunPSK" w:hAnsi="TH SarabunPSK" w:cs="TH SarabunPSK"/>
        </w:rPr>
      </w:pPr>
      <w:r>
        <w:rPr>
          <w:rFonts w:ascii="TH SarabunPSK" w:hAnsi="TH SarabunPSK" w:cs="TH SarabunPSK" w:hint="cs"/>
        </w:rPr>
        <w:t>Guangxi Zhuang Autonomous Region Radio and Television Bureau. (2025, June 29). 2025 zhong guo — dong meng shi ting chan ye he zuo hui yi qian yue xiang mu wei duan ju 《sa wa di ka —— tai jing qi yuan》 man gu kai ji (in Chinese). [2025 China-ASEAN Audio-Visual Industry Cooperation Conference signed project: Micro-series "Sawadee Ka – Adventure in Thailand" starts shooting in Bangkok]. http://gbdsj.gxzf.gov.cn/jingcaizhuanti/stz/dmjl/t21729903.shtml</w:t>
      </w:r>
    </w:p>
    <w:p w14:paraId="60369246" w14:textId="77777777" w:rsidR="001D1C02" w:rsidRDefault="00000000">
      <w:pPr>
        <w:pStyle w:val="NormalWeb"/>
        <w:spacing w:before="0" w:beforeAutospacing="0" w:after="0" w:afterAutospacing="0"/>
        <w:ind w:left="480" w:hangingChars="200" w:hanging="480"/>
        <w:jc w:val="thaiDistribute"/>
        <w:rPr>
          <w:rFonts w:ascii="TH SarabunPSK" w:hAnsi="TH SarabunPSK" w:cs="TH SarabunPSK"/>
        </w:rPr>
      </w:pPr>
      <w:r>
        <w:rPr>
          <w:rFonts w:ascii="TH SarabunPSK" w:hAnsi="TH SarabunPSK" w:cs="TH SarabunPSK" w:hint="cs"/>
        </w:rPr>
        <w:t>Hall, S. (1980). Encoding/decoding. In S. Hall, D. Hobson, A. Lowe, &amp; P. Willis (Eds.),</w:t>
      </w:r>
      <w:r>
        <w:rPr>
          <w:rStyle w:val="apple-converted-space"/>
          <w:rFonts w:ascii="TH SarabunPSK" w:hAnsi="TH SarabunPSK" w:cs="TH SarabunPSK" w:hint="cs"/>
        </w:rPr>
        <w:t> </w:t>
      </w:r>
      <w:r>
        <w:rPr>
          <w:rStyle w:val="Emphasis"/>
          <w:rFonts w:ascii="TH SarabunPSK" w:hAnsi="TH SarabunPSK" w:cs="TH SarabunPSK" w:hint="cs"/>
        </w:rPr>
        <w:t>Culture, media, language</w:t>
      </w:r>
      <w:r>
        <w:rPr>
          <w:rStyle w:val="apple-converted-space"/>
          <w:rFonts w:ascii="TH SarabunPSK" w:hAnsi="TH SarabunPSK" w:cs="TH SarabunPSK" w:hint="cs"/>
        </w:rPr>
        <w:t> </w:t>
      </w:r>
      <w:r>
        <w:rPr>
          <w:rFonts w:ascii="TH SarabunPSK" w:hAnsi="TH SarabunPSK" w:cs="TH SarabunPSK" w:hint="cs"/>
        </w:rPr>
        <w:t>(pp. 128–138). Hutchinson.</w:t>
      </w:r>
    </w:p>
    <w:p w14:paraId="28967640" w14:textId="77777777" w:rsidR="001D1C02" w:rsidRDefault="00000000">
      <w:pPr>
        <w:pStyle w:val="NormalWeb"/>
        <w:spacing w:before="0" w:beforeAutospacing="0" w:after="0" w:afterAutospacing="0"/>
        <w:ind w:left="480" w:hangingChars="200" w:hanging="480"/>
        <w:jc w:val="thaiDistribute"/>
        <w:rPr>
          <w:rFonts w:ascii="TH SarabunPSK" w:hAnsi="TH SarabunPSK" w:cs="TH SarabunPSK"/>
        </w:rPr>
      </w:pPr>
      <w:r>
        <w:rPr>
          <w:rFonts w:ascii="TH SarabunPSK" w:hAnsi="TH SarabunPSK" w:cs="TH SarabunPSK" w:hint="cs"/>
        </w:rPr>
        <w:t>Hall, S. (1997). The spectacle of the other. Representation: Cultural representations and signifying practices, 7, 223-290.</w:t>
      </w:r>
    </w:p>
    <w:p w14:paraId="2F434187" w14:textId="77777777" w:rsidR="001D1C02" w:rsidRDefault="00000000">
      <w:pPr>
        <w:pStyle w:val="NormalWeb"/>
        <w:spacing w:before="0" w:beforeAutospacing="0" w:after="0" w:afterAutospacing="0"/>
        <w:ind w:left="480" w:hangingChars="200" w:hanging="480"/>
        <w:jc w:val="thaiDistribute"/>
        <w:rPr>
          <w:rStyle w:val="Hyperlink"/>
          <w:rFonts w:ascii="TH SarabunPSK" w:hAnsi="TH SarabunPSK" w:cs="TH SarabunPSK"/>
          <w:color w:val="auto"/>
          <w:u w:val="none"/>
        </w:rPr>
      </w:pPr>
      <w:r>
        <w:rPr>
          <w:rStyle w:val="Hyperlink"/>
          <w:rFonts w:ascii="TH SarabunPSK" w:hAnsi="TH SarabunPSK" w:cs="TH SarabunPSK" w:hint="cs"/>
          <w:color w:val="auto"/>
          <w:u w:val="none"/>
        </w:rPr>
        <w:t>Hoskins, C., &amp; Mirus, R. (1988). Reasons for the US dominance of the international trade in television programmes. Media, Culture &amp; Society, 10(4), 499-515.</w:t>
      </w:r>
    </w:p>
    <w:p w14:paraId="4235AE6F" w14:textId="77777777" w:rsidR="001D1C02" w:rsidRDefault="00000000">
      <w:pPr>
        <w:pStyle w:val="NormalWeb"/>
        <w:spacing w:before="0" w:beforeAutospacing="0" w:after="0" w:afterAutospacing="0"/>
        <w:ind w:left="480" w:hangingChars="200" w:hanging="480"/>
        <w:jc w:val="thaiDistribute"/>
        <w:rPr>
          <w:rStyle w:val="Hyperlink"/>
          <w:rFonts w:ascii="TH SarabunPSK" w:hAnsi="TH SarabunPSK" w:cs="TH SarabunPSK"/>
          <w:color w:val="auto"/>
          <w:u w:val="none"/>
        </w:rPr>
      </w:pPr>
      <w:r>
        <w:rPr>
          <w:rStyle w:val="Hyperlink"/>
          <w:rFonts w:ascii="TH SarabunPSK" w:hAnsi="TH SarabunPSK" w:cs="TH SarabunPSK" w:hint="cs"/>
          <w:color w:val="auto"/>
          <w:u w:val="none"/>
        </w:rPr>
        <w:t>Li, X. P., Huang, J., Qi, J. W., &amp; Wang, F. (2025, September 13). Gong tong jiang hao zhong tai yi jia qin gu shi (in Chinese). [Telling the story of “China and Thailand are one family” together]. Guangxi Daily, 005. https://gxrb.gxrb.com.cn/?name=gxrb&amp;date=2025-09-13&amp;code=005&amp;xuhao=4</w:t>
      </w:r>
    </w:p>
    <w:p w14:paraId="2071C2BA" w14:textId="77777777" w:rsidR="001D1C02" w:rsidRDefault="00000000">
      <w:pPr>
        <w:pStyle w:val="NormalWeb"/>
        <w:spacing w:before="0" w:beforeAutospacing="0" w:after="0" w:afterAutospacing="0"/>
        <w:ind w:left="480" w:hangingChars="200" w:hanging="480"/>
        <w:jc w:val="thaiDistribute"/>
        <w:rPr>
          <w:rFonts w:ascii="TH SarabunPSK" w:hAnsi="TH SarabunPSK" w:cs="TH SarabunPSK"/>
        </w:rPr>
      </w:pPr>
      <w:r>
        <w:rPr>
          <w:rFonts w:ascii="TH SarabunPSK" w:hAnsi="TH SarabunPSK" w:cs="TH SarabunPSK" w:hint="cs"/>
        </w:rPr>
        <w:lastRenderedPageBreak/>
        <w:t>Jenkins, H., Ford, S., &amp; Green, J. (2013). Spreadable media: Creating value and meaning in a networked culture. In Spreadable media. New York University Press.</w:t>
      </w:r>
    </w:p>
    <w:p w14:paraId="47480A59" w14:textId="77777777" w:rsidR="001D1C02" w:rsidRDefault="00000000">
      <w:pPr>
        <w:pStyle w:val="NormalWeb"/>
        <w:spacing w:before="0" w:beforeAutospacing="0" w:after="0" w:afterAutospacing="0"/>
        <w:ind w:left="480" w:hangingChars="200" w:hanging="480"/>
        <w:jc w:val="thaiDistribute"/>
        <w:rPr>
          <w:rStyle w:val="Hyperlink"/>
          <w:rFonts w:ascii="TH SarabunPSK" w:hAnsi="TH SarabunPSK" w:cs="TH SarabunPSK"/>
          <w:color w:val="auto"/>
          <w:u w:val="none"/>
        </w:rPr>
      </w:pPr>
      <w:r>
        <w:rPr>
          <w:rStyle w:val="Hyperlink"/>
          <w:rFonts w:ascii="TH SarabunPSK" w:hAnsi="TH SarabunPSK" w:cs="TH SarabunPSK" w:hint="cs"/>
          <w:color w:val="auto"/>
          <w:u w:val="none"/>
        </w:rPr>
        <w:t xml:space="preserve">Mo, L. G., &amp; Gao, H. (2025). Di fang yu zhou bian: "quan qiu di fang" jiao shi xia an xi zhu liu mei ti mian xiang dong meng shi ting chuan bo de shi jian yan jiu (in Chinese). [Locality and periphery: A study on Guangxi mainstream media’s audiovisual communication toward ASEAN from a “glocal” perspective]. Xinwen Aihaozhe (Journalism Lover), (11), 66-70. </w:t>
      </w:r>
      <w:hyperlink r:id="rId7" w:history="1">
        <w:r>
          <w:rPr>
            <w:rStyle w:val="Hyperlink"/>
            <w:rFonts w:ascii="TH SarabunPSK" w:hAnsi="TH SarabunPSK" w:cs="TH SarabunPSK" w:hint="cs"/>
            <w:color w:val="auto"/>
          </w:rPr>
          <w:t>https://doi.org/10.16017/j.cnki.xwahz.2025.11.024</w:t>
        </w:r>
      </w:hyperlink>
    </w:p>
    <w:p w14:paraId="31C1DBB0" w14:textId="77777777" w:rsidR="001D1C02" w:rsidRDefault="00000000">
      <w:pPr>
        <w:pStyle w:val="NormalWeb"/>
        <w:spacing w:before="0" w:beforeAutospacing="0" w:after="0" w:afterAutospacing="0"/>
        <w:ind w:left="480" w:hangingChars="200" w:hanging="480"/>
        <w:jc w:val="thaiDistribute"/>
        <w:rPr>
          <w:rStyle w:val="Hyperlink"/>
          <w:rFonts w:ascii="TH SarabunPSK" w:hAnsi="TH SarabunPSK" w:cs="TH SarabunPSK"/>
          <w:color w:val="auto"/>
          <w:u w:val="none"/>
        </w:rPr>
      </w:pPr>
      <w:r>
        <w:rPr>
          <w:rStyle w:val="Hyperlink"/>
          <w:rFonts w:ascii="TH SarabunPSK" w:hAnsi="TH SarabunPSK" w:cs="TH SarabunPSK" w:hint="cs"/>
          <w:color w:val="auto"/>
          <w:u w:val="none"/>
        </w:rPr>
        <w:t>Nye, J. S. (1990). Soft power. Foreign Policy, (80), 153–171. https://doi.org/10.2307/1148580</w:t>
      </w:r>
    </w:p>
    <w:p w14:paraId="7515C33B" w14:textId="77777777" w:rsidR="001D1C02" w:rsidRDefault="00000000">
      <w:pPr>
        <w:pStyle w:val="NormalWeb"/>
        <w:spacing w:before="0" w:beforeAutospacing="0" w:after="0" w:afterAutospacing="0"/>
        <w:ind w:left="480" w:hangingChars="200" w:hanging="480"/>
        <w:jc w:val="thaiDistribute"/>
        <w:rPr>
          <w:rFonts w:ascii="TH SarabunPSK" w:hAnsi="TH SarabunPSK" w:cs="TH SarabunPSK"/>
        </w:rPr>
      </w:pPr>
      <w:r>
        <w:rPr>
          <w:rFonts w:ascii="TH SarabunPSK" w:hAnsi="TH SarabunPSK" w:cs="TH SarabunPSK" w:hint="cs"/>
        </w:rPr>
        <w:t xml:space="preserve">Nye, J. S. (2004). Soft Power: The Means to Success in World Politics. New York: Public Affairs. </w:t>
      </w:r>
    </w:p>
    <w:p w14:paraId="5EEF9589" w14:textId="77777777" w:rsidR="001D1C02" w:rsidRDefault="00000000">
      <w:pPr>
        <w:pStyle w:val="NormalWeb"/>
        <w:spacing w:before="0" w:beforeAutospacing="0" w:after="0" w:afterAutospacing="0"/>
        <w:ind w:left="480" w:hangingChars="200" w:hanging="480"/>
        <w:jc w:val="thaiDistribute"/>
        <w:rPr>
          <w:rFonts w:ascii="TH SarabunPSK" w:hAnsi="TH SarabunPSK" w:cs="TH SarabunPSK"/>
        </w:rPr>
      </w:pPr>
      <w:r>
        <w:rPr>
          <w:rFonts w:ascii="TH SarabunPSK" w:hAnsi="TH SarabunPSK" w:cs="TH SarabunPSK" w:hint="cs"/>
        </w:rPr>
        <w:t>Nye, J. S. (2011). The Future of Power. PublicAffairs.</w:t>
      </w:r>
    </w:p>
    <w:p w14:paraId="28488036" w14:textId="77777777" w:rsidR="001D1C02" w:rsidRDefault="00000000">
      <w:pPr>
        <w:pStyle w:val="NormalWeb"/>
        <w:spacing w:before="0" w:beforeAutospacing="0" w:after="0" w:afterAutospacing="0"/>
        <w:ind w:left="480" w:hangingChars="200" w:hanging="480"/>
        <w:jc w:val="thaiDistribute"/>
        <w:rPr>
          <w:rStyle w:val="Hyperlink"/>
          <w:rFonts w:ascii="TH SarabunPSK" w:hAnsi="TH SarabunPSK" w:cs="TH SarabunPSK"/>
          <w:color w:val="auto"/>
          <w:u w:val="none"/>
        </w:rPr>
      </w:pPr>
      <w:r>
        <w:rPr>
          <w:rStyle w:val="Hyperlink"/>
          <w:rFonts w:ascii="TH SarabunPSK" w:hAnsi="TH SarabunPSK" w:cs="TH SarabunPSK" w:hint="cs"/>
          <w:color w:val="auto"/>
          <w:u w:val="none"/>
        </w:rPr>
        <w:t>Shen, Y., &amp; Jin, S. (2023). Cong ruan shi li dao "nuan shi li": Zhong guo guo ji chuan bo li nian chuang xin de hua yu、wei du yu yuan jing (in Chinese). [From "Soft Power" to "Warm Power": Discourse, dimensions, and visions of China’s international communication concept innovation]. Dongyue Tribune, 44(2), 62–75. 10.15981/j.cnki.dongyueluncong.2023.03.007</w:t>
      </w:r>
    </w:p>
    <w:p w14:paraId="006B707D" w14:textId="77777777" w:rsidR="001D1C02" w:rsidRDefault="00000000">
      <w:pPr>
        <w:pStyle w:val="NormalWeb"/>
        <w:spacing w:before="0" w:beforeAutospacing="0" w:after="0" w:afterAutospacing="0"/>
        <w:ind w:left="480" w:hangingChars="200" w:hanging="480"/>
        <w:jc w:val="thaiDistribute"/>
        <w:rPr>
          <w:rFonts w:ascii="TH SarabunPSK" w:hAnsi="TH SarabunPSK" w:cs="TH SarabunPSK"/>
        </w:rPr>
      </w:pPr>
      <w:r>
        <w:rPr>
          <w:rFonts w:ascii="TH SarabunPSK" w:hAnsi="TH SarabunPSK" w:cs="TH SarabunPSK" w:hint="cs"/>
        </w:rPr>
        <w:t>Wanning Sun. (2015). Slow boat from China: public discourses behind the ‘going global’ media policy. International Journal of Cultural Policy, 21 (4), 400-418. https://doi.org/10.1080/10286632.2015.1043129.</w:t>
      </w:r>
    </w:p>
    <w:p w14:paraId="34C708DC" w14:textId="77777777" w:rsidR="001D1C02" w:rsidRDefault="00000000">
      <w:pPr>
        <w:pStyle w:val="NormalWeb"/>
        <w:spacing w:before="0" w:beforeAutospacing="0" w:after="0" w:afterAutospacing="0"/>
        <w:ind w:left="480" w:hangingChars="200" w:hanging="480"/>
        <w:jc w:val="thaiDistribute"/>
        <w:rPr>
          <w:rStyle w:val="Hyperlink"/>
          <w:rFonts w:ascii="TH SarabunPSK" w:hAnsi="TH SarabunPSK" w:cs="TH SarabunPSK"/>
          <w:color w:val="auto"/>
          <w:u w:val="none"/>
        </w:rPr>
      </w:pPr>
      <w:r>
        <w:rPr>
          <w:rStyle w:val="Hyperlink"/>
          <w:rFonts w:ascii="TH SarabunPSK" w:hAnsi="TH SarabunPSK" w:cs="TH SarabunPSK" w:hint="cs"/>
          <w:color w:val="auto"/>
          <w:u w:val="none"/>
        </w:rPr>
        <w:t>Wei, X. (2024). Xin Min Ge Da Hui: Zhong tai min ge jiao xiang, gong zhu ming yun gong tong ti (in Chinese). [New Folk Song Gala: A symphony of Chinese–Thai folk music and the joint construction of a community with a shared future]. Radio &amp; Television Journal, (11), 128–132. 10.19395/j.cnki.1674-246x.2024.11.021</w:t>
      </w:r>
    </w:p>
    <w:p w14:paraId="52ABA229" w14:textId="77777777" w:rsidR="001D1C02" w:rsidRDefault="00000000">
      <w:pPr>
        <w:pStyle w:val="NormalWeb"/>
        <w:spacing w:before="0" w:beforeAutospacing="0"/>
        <w:ind w:left="480" w:hangingChars="200" w:hanging="480"/>
        <w:jc w:val="thaiDistribute"/>
        <w:rPr>
          <w:rFonts w:ascii="TH SarabunPSK" w:hAnsi="TH SarabunPSK" w:cs="TH SarabunPSK"/>
          <w:cs/>
        </w:rPr>
      </w:pPr>
      <w:r>
        <w:rPr>
          <w:rFonts w:ascii="TH SarabunPSK" w:hAnsi="TH SarabunPSK" w:cs="TH SarabunPSK" w:hint="cs"/>
          <w:cs/>
        </w:rPr>
        <w:t>Zuo, J. Z. (2016). Yi ge chuan qing: Yun yong "nuan shi li" chuan bo ti sheng jun shi dui Wai chuan bo de ying xiang li (in Chinese). [Conveying affection through songs: Enhancing the influence of military international communication through the application of "warm power"]. Journal of Naval University of Engineering (Comprehensive Edition), 13(4), 46-51. 10.13678/j.cnki.issn1674-5531.2016.04.010</w:t>
      </w:r>
    </w:p>
    <w:sectPr w:rsidR="001D1C02">
      <w:pgSz w:w="11906" w:h="16838"/>
      <w:pgMar w:top="141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B099" w14:textId="77777777" w:rsidR="00384EBB" w:rsidRDefault="00384EBB">
      <w:pPr>
        <w:spacing w:line="240" w:lineRule="auto"/>
      </w:pPr>
      <w:r>
        <w:separator/>
      </w:r>
    </w:p>
  </w:endnote>
  <w:endnote w:type="continuationSeparator" w:id="0">
    <w:p w14:paraId="0DBC95E3" w14:textId="77777777" w:rsidR="00384EBB" w:rsidRDefault="00384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 New">
    <w:altName w:val="Browallia New"/>
    <w:charset w:val="DE"/>
    <w:family w:val="swiss"/>
    <w:pitch w:val="default"/>
    <w:sig w:usb0="A100006F" w:usb1="5000205A" w:usb2="00000000" w:usb3="00000000" w:csb0="60010183" w:csb1="80000000"/>
  </w:font>
  <w:font w:name="TH SarabunPSK">
    <w:charset w:val="DE"/>
    <w:family w:val="swiss"/>
    <w:pitch w:val="variable"/>
    <w:sig w:usb0="01000003" w:usb1="00000000" w:usb2="00000000" w:usb3="00000000" w:csb0="0001011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D028F" w14:textId="77777777" w:rsidR="00384EBB" w:rsidRDefault="00384EBB">
      <w:pPr>
        <w:spacing w:after="0"/>
      </w:pPr>
      <w:r>
        <w:separator/>
      </w:r>
    </w:p>
  </w:footnote>
  <w:footnote w:type="continuationSeparator" w:id="0">
    <w:p w14:paraId="054F8AD2" w14:textId="77777777" w:rsidR="00384EBB" w:rsidRDefault="00384EB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DE9"/>
    <w:rsid w:val="00006F95"/>
    <w:rsid w:val="000077D5"/>
    <w:rsid w:val="00011B22"/>
    <w:rsid w:val="00021B5A"/>
    <w:rsid w:val="00022640"/>
    <w:rsid w:val="00034FC7"/>
    <w:rsid w:val="0004055B"/>
    <w:rsid w:val="00051160"/>
    <w:rsid w:val="00053592"/>
    <w:rsid w:val="00056620"/>
    <w:rsid w:val="00063AA7"/>
    <w:rsid w:val="0006444A"/>
    <w:rsid w:val="00073D65"/>
    <w:rsid w:val="00074187"/>
    <w:rsid w:val="000763EE"/>
    <w:rsid w:val="00077859"/>
    <w:rsid w:val="00077F5E"/>
    <w:rsid w:val="00084FC0"/>
    <w:rsid w:val="00085D88"/>
    <w:rsid w:val="00086C33"/>
    <w:rsid w:val="000922A5"/>
    <w:rsid w:val="000925A4"/>
    <w:rsid w:val="000962C2"/>
    <w:rsid w:val="000A2E70"/>
    <w:rsid w:val="000A4E90"/>
    <w:rsid w:val="000A565E"/>
    <w:rsid w:val="000A5799"/>
    <w:rsid w:val="000B09CF"/>
    <w:rsid w:val="000D2152"/>
    <w:rsid w:val="000D4517"/>
    <w:rsid w:val="000E2231"/>
    <w:rsid w:val="000F1697"/>
    <w:rsid w:val="000F356C"/>
    <w:rsid w:val="000F36FD"/>
    <w:rsid w:val="000F67A2"/>
    <w:rsid w:val="00105B71"/>
    <w:rsid w:val="00105E73"/>
    <w:rsid w:val="001115BE"/>
    <w:rsid w:val="00114A40"/>
    <w:rsid w:val="00115951"/>
    <w:rsid w:val="00116D81"/>
    <w:rsid w:val="001250FB"/>
    <w:rsid w:val="00130352"/>
    <w:rsid w:val="0013697C"/>
    <w:rsid w:val="00147768"/>
    <w:rsid w:val="0015039D"/>
    <w:rsid w:val="00151A89"/>
    <w:rsid w:val="0017410E"/>
    <w:rsid w:val="00181887"/>
    <w:rsid w:val="0018426A"/>
    <w:rsid w:val="00184E9D"/>
    <w:rsid w:val="0019379E"/>
    <w:rsid w:val="001A31BF"/>
    <w:rsid w:val="001A40BF"/>
    <w:rsid w:val="001A5A9C"/>
    <w:rsid w:val="001B0D2A"/>
    <w:rsid w:val="001C6625"/>
    <w:rsid w:val="001D0C95"/>
    <w:rsid w:val="001D1C02"/>
    <w:rsid w:val="001E4055"/>
    <w:rsid w:val="001F0600"/>
    <w:rsid w:val="001F088F"/>
    <w:rsid w:val="001F4C0E"/>
    <w:rsid w:val="0021591A"/>
    <w:rsid w:val="0022069D"/>
    <w:rsid w:val="0022313E"/>
    <w:rsid w:val="00240CB6"/>
    <w:rsid w:val="00251557"/>
    <w:rsid w:val="00251717"/>
    <w:rsid w:val="0028197F"/>
    <w:rsid w:val="00287871"/>
    <w:rsid w:val="00287A06"/>
    <w:rsid w:val="002919AC"/>
    <w:rsid w:val="00297FCA"/>
    <w:rsid w:val="002A6A02"/>
    <w:rsid w:val="002A6DA1"/>
    <w:rsid w:val="002A74F2"/>
    <w:rsid w:val="002B0434"/>
    <w:rsid w:val="002B1FC4"/>
    <w:rsid w:val="002C2053"/>
    <w:rsid w:val="002C334F"/>
    <w:rsid w:val="002C7349"/>
    <w:rsid w:val="002D0D33"/>
    <w:rsid w:val="002D0EF7"/>
    <w:rsid w:val="002D74FD"/>
    <w:rsid w:val="002E031D"/>
    <w:rsid w:val="002F0F46"/>
    <w:rsid w:val="00300A64"/>
    <w:rsid w:val="00300C92"/>
    <w:rsid w:val="003016B8"/>
    <w:rsid w:val="00301FC1"/>
    <w:rsid w:val="00306A23"/>
    <w:rsid w:val="00307F2F"/>
    <w:rsid w:val="0032112E"/>
    <w:rsid w:val="003356A3"/>
    <w:rsid w:val="00337DE6"/>
    <w:rsid w:val="00337E27"/>
    <w:rsid w:val="00343E12"/>
    <w:rsid w:val="003515FC"/>
    <w:rsid w:val="00372B0F"/>
    <w:rsid w:val="00377D86"/>
    <w:rsid w:val="00382BF6"/>
    <w:rsid w:val="00384EBB"/>
    <w:rsid w:val="00392C1A"/>
    <w:rsid w:val="00395A89"/>
    <w:rsid w:val="003A7B4B"/>
    <w:rsid w:val="003C54EA"/>
    <w:rsid w:val="003C7FCE"/>
    <w:rsid w:val="003D7584"/>
    <w:rsid w:val="003E27E7"/>
    <w:rsid w:val="003E4A6F"/>
    <w:rsid w:val="003E7AA5"/>
    <w:rsid w:val="003F224A"/>
    <w:rsid w:val="00406E38"/>
    <w:rsid w:val="0041380B"/>
    <w:rsid w:val="004152AE"/>
    <w:rsid w:val="00424BE2"/>
    <w:rsid w:val="0043081A"/>
    <w:rsid w:val="0043471F"/>
    <w:rsid w:val="00437B35"/>
    <w:rsid w:val="004470E3"/>
    <w:rsid w:val="00451F01"/>
    <w:rsid w:val="004541B6"/>
    <w:rsid w:val="00457691"/>
    <w:rsid w:val="00457E62"/>
    <w:rsid w:val="004678F6"/>
    <w:rsid w:val="004719B2"/>
    <w:rsid w:val="00483012"/>
    <w:rsid w:val="004918E5"/>
    <w:rsid w:val="0049604A"/>
    <w:rsid w:val="004961AA"/>
    <w:rsid w:val="004A4037"/>
    <w:rsid w:val="004A510D"/>
    <w:rsid w:val="004B73CE"/>
    <w:rsid w:val="004C0EC6"/>
    <w:rsid w:val="004C2C1A"/>
    <w:rsid w:val="004C3D76"/>
    <w:rsid w:val="004C3FEB"/>
    <w:rsid w:val="004D3F99"/>
    <w:rsid w:val="004E50FB"/>
    <w:rsid w:val="004F2576"/>
    <w:rsid w:val="004F2D23"/>
    <w:rsid w:val="004F2D43"/>
    <w:rsid w:val="005020FC"/>
    <w:rsid w:val="00510FED"/>
    <w:rsid w:val="00514484"/>
    <w:rsid w:val="005168CB"/>
    <w:rsid w:val="00520E13"/>
    <w:rsid w:val="005245CC"/>
    <w:rsid w:val="005267A8"/>
    <w:rsid w:val="0053640B"/>
    <w:rsid w:val="0054703E"/>
    <w:rsid w:val="00556D8E"/>
    <w:rsid w:val="00556E2F"/>
    <w:rsid w:val="00565652"/>
    <w:rsid w:val="005715E6"/>
    <w:rsid w:val="00572EC3"/>
    <w:rsid w:val="00573D13"/>
    <w:rsid w:val="00580991"/>
    <w:rsid w:val="00580DE9"/>
    <w:rsid w:val="00584927"/>
    <w:rsid w:val="0058734C"/>
    <w:rsid w:val="00594CF6"/>
    <w:rsid w:val="005A06A2"/>
    <w:rsid w:val="005A73FA"/>
    <w:rsid w:val="005A76C8"/>
    <w:rsid w:val="005D0C3A"/>
    <w:rsid w:val="005D1315"/>
    <w:rsid w:val="005D17CE"/>
    <w:rsid w:val="005D353F"/>
    <w:rsid w:val="005E392E"/>
    <w:rsid w:val="005E3C71"/>
    <w:rsid w:val="005E69CB"/>
    <w:rsid w:val="005E72ED"/>
    <w:rsid w:val="005F11B1"/>
    <w:rsid w:val="006122C6"/>
    <w:rsid w:val="00614117"/>
    <w:rsid w:val="006171BC"/>
    <w:rsid w:val="00621CD8"/>
    <w:rsid w:val="0062756E"/>
    <w:rsid w:val="00643F31"/>
    <w:rsid w:val="00644740"/>
    <w:rsid w:val="00652E07"/>
    <w:rsid w:val="00657DBA"/>
    <w:rsid w:val="006633FA"/>
    <w:rsid w:val="0066692D"/>
    <w:rsid w:val="006770A1"/>
    <w:rsid w:val="0068764A"/>
    <w:rsid w:val="00693C17"/>
    <w:rsid w:val="006B34BA"/>
    <w:rsid w:val="006B47DB"/>
    <w:rsid w:val="006B7563"/>
    <w:rsid w:val="006C75BB"/>
    <w:rsid w:val="006D1C95"/>
    <w:rsid w:val="006D3D2A"/>
    <w:rsid w:val="006D4602"/>
    <w:rsid w:val="006D4BDB"/>
    <w:rsid w:val="006E7C4C"/>
    <w:rsid w:val="006F1393"/>
    <w:rsid w:val="006F5F85"/>
    <w:rsid w:val="007032D2"/>
    <w:rsid w:val="00704B95"/>
    <w:rsid w:val="0070500F"/>
    <w:rsid w:val="007118BE"/>
    <w:rsid w:val="0071354D"/>
    <w:rsid w:val="00715707"/>
    <w:rsid w:val="00730C01"/>
    <w:rsid w:val="007372F0"/>
    <w:rsid w:val="00741763"/>
    <w:rsid w:val="0074334E"/>
    <w:rsid w:val="007516C7"/>
    <w:rsid w:val="00751E36"/>
    <w:rsid w:val="007547E6"/>
    <w:rsid w:val="00756BE1"/>
    <w:rsid w:val="00762D32"/>
    <w:rsid w:val="00773EDD"/>
    <w:rsid w:val="0079184D"/>
    <w:rsid w:val="00792699"/>
    <w:rsid w:val="00792D49"/>
    <w:rsid w:val="00792E89"/>
    <w:rsid w:val="007947DB"/>
    <w:rsid w:val="0079570A"/>
    <w:rsid w:val="00795955"/>
    <w:rsid w:val="007A45E3"/>
    <w:rsid w:val="007A59D8"/>
    <w:rsid w:val="007C7EA5"/>
    <w:rsid w:val="007D3DD9"/>
    <w:rsid w:val="007D4164"/>
    <w:rsid w:val="007E7459"/>
    <w:rsid w:val="007E7871"/>
    <w:rsid w:val="007F0D3E"/>
    <w:rsid w:val="007F1CDE"/>
    <w:rsid w:val="007F4665"/>
    <w:rsid w:val="00803641"/>
    <w:rsid w:val="00803E0F"/>
    <w:rsid w:val="00811875"/>
    <w:rsid w:val="00812383"/>
    <w:rsid w:val="008129BC"/>
    <w:rsid w:val="00827E37"/>
    <w:rsid w:val="00831418"/>
    <w:rsid w:val="008352C9"/>
    <w:rsid w:val="008426E2"/>
    <w:rsid w:val="00850388"/>
    <w:rsid w:val="008519E3"/>
    <w:rsid w:val="00890140"/>
    <w:rsid w:val="00896D8F"/>
    <w:rsid w:val="00896E01"/>
    <w:rsid w:val="008A6541"/>
    <w:rsid w:val="008D60C8"/>
    <w:rsid w:val="008E4070"/>
    <w:rsid w:val="008F14DF"/>
    <w:rsid w:val="008F3A59"/>
    <w:rsid w:val="008F7CB6"/>
    <w:rsid w:val="00907618"/>
    <w:rsid w:val="00911D6B"/>
    <w:rsid w:val="009144A8"/>
    <w:rsid w:val="0091551B"/>
    <w:rsid w:val="0091595C"/>
    <w:rsid w:val="009168F8"/>
    <w:rsid w:val="00921615"/>
    <w:rsid w:val="00926479"/>
    <w:rsid w:val="00943CF0"/>
    <w:rsid w:val="0094784C"/>
    <w:rsid w:val="00950471"/>
    <w:rsid w:val="009565CD"/>
    <w:rsid w:val="009610DE"/>
    <w:rsid w:val="0096559B"/>
    <w:rsid w:val="009718AD"/>
    <w:rsid w:val="00973B47"/>
    <w:rsid w:val="00975BB9"/>
    <w:rsid w:val="009807B5"/>
    <w:rsid w:val="00982A81"/>
    <w:rsid w:val="00984C81"/>
    <w:rsid w:val="00987445"/>
    <w:rsid w:val="00994DE6"/>
    <w:rsid w:val="009B6615"/>
    <w:rsid w:val="009C50D9"/>
    <w:rsid w:val="009D1C8D"/>
    <w:rsid w:val="009D3EE1"/>
    <w:rsid w:val="009D6036"/>
    <w:rsid w:val="009D6A13"/>
    <w:rsid w:val="009D7EA2"/>
    <w:rsid w:val="009E43BC"/>
    <w:rsid w:val="009F3D1A"/>
    <w:rsid w:val="009F57B4"/>
    <w:rsid w:val="00A04890"/>
    <w:rsid w:val="00A051E3"/>
    <w:rsid w:val="00A06FF8"/>
    <w:rsid w:val="00A10B06"/>
    <w:rsid w:val="00A11410"/>
    <w:rsid w:val="00A23066"/>
    <w:rsid w:val="00A23906"/>
    <w:rsid w:val="00A347F0"/>
    <w:rsid w:val="00A34F93"/>
    <w:rsid w:val="00A41005"/>
    <w:rsid w:val="00A4650B"/>
    <w:rsid w:val="00A50CD7"/>
    <w:rsid w:val="00A54106"/>
    <w:rsid w:val="00A61B07"/>
    <w:rsid w:val="00A6509C"/>
    <w:rsid w:val="00A70C7E"/>
    <w:rsid w:val="00A719BD"/>
    <w:rsid w:val="00A82532"/>
    <w:rsid w:val="00A82D5D"/>
    <w:rsid w:val="00A87DDB"/>
    <w:rsid w:val="00A97FB5"/>
    <w:rsid w:val="00AA02E5"/>
    <w:rsid w:val="00AA08E9"/>
    <w:rsid w:val="00AA1322"/>
    <w:rsid w:val="00AA3F4F"/>
    <w:rsid w:val="00AB3E8D"/>
    <w:rsid w:val="00AB45F5"/>
    <w:rsid w:val="00AB5E8D"/>
    <w:rsid w:val="00AB64CA"/>
    <w:rsid w:val="00AC05D0"/>
    <w:rsid w:val="00AC5DB4"/>
    <w:rsid w:val="00AE2B1F"/>
    <w:rsid w:val="00AE60E9"/>
    <w:rsid w:val="00AF2423"/>
    <w:rsid w:val="00AF4DE9"/>
    <w:rsid w:val="00AF6AAC"/>
    <w:rsid w:val="00AF7E29"/>
    <w:rsid w:val="00B079E9"/>
    <w:rsid w:val="00B139B1"/>
    <w:rsid w:val="00B230B1"/>
    <w:rsid w:val="00B26178"/>
    <w:rsid w:val="00B26B56"/>
    <w:rsid w:val="00B30CDD"/>
    <w:rsid w:val="00B30D18"/>
    <w:rsid w:val="00B41FED"/>
    <w:rsid w:val="00B4321E"/>
    <w:rsid w:val="00B52E3D"/>
    <w:rsid w:val="00B55B66"/>
    <w:rsid w:val="00B71EB5"/>
    <w:rsid w:val="00B72FCE"/>
    <w:rsid w:val="00B73B17"/>
    <w:rsid w:val="00B741F0"/>
    <w:rsid w:val="00B81E68"/>
    <w:rsid w:val="00B90321"/>
    <w:rsid w:val="00B91ED1"/>
    <w:rsid w:val="00BA03E9"/>
    <w:rsid w:val="00BB198A"/>
    <w:rsid w:val="00BC6BE3"/>
    <w:rsid w:val="00BD547D"/>
    <w:rsid w:val="00BE2A26"/>
    <w:rsid w:val="00BE3E04"/>
    <w:rsid w:val="00BE4B82"/>
    <w:rsid w:val="00C02E29"/>
    <w:rsid w:val="00C240B8"/>
    <w:rsid w:val="00C2689F"/>
    <w:rsid w:val="00C27B50"/>
    <w:rsid w:val="00C30CFA"/>
    <w:rsid w:val="00C31AEC"/>
    <w:rsid w:val="00C325BA"/>
    <w:rsid w:val="00C36841"/>
    <w:rsid w:val="00C47F3A"/>
    <w:rsid w:val="00C60BCE"/>
    <w:rsid w:val="00C6146D"/>
    <w:rsid w:val="00C66D78"/>
    <w:rsid w:val="00C700AB"/>
    <w:rsid w:val="00C70813"/>
    <w:rsid w:val="00C7341D"/>
    <w:rsid w:val="00C827CB"/>
    <w:rsid w:val="00C83EC0"/>
    <w:rsid w:val="00C8682C"/>
    <w:rsid w:val="00C907DB"/>
    <w:rsid w:val="00C9189E"/>
    <w:rsid w:val="00C91E02"/>
    <w:rsid w:val="00C9462E"/>
    <w:rsid w:val="00CA2D3D"/>
    <w:rsid w:val="00CA2E46"/>
    <w:rsid w:val="00CA4383"/>
    <w:rsid w:val="00CB57B4"/>
    <w:rsid w:val="00CC05C9"/>
    <w:rsid w:val="00CC1FCB"/>
    <w:rsid w:val="00CC7794"/>
    <w:rsid w:val="00CD296F"/>
    <w:rsid w:val="00CF207E"/>
    <w:rsid w:val="00CF41BF"/>
    <w:rsid w:val="00D124AD"/>
    <w:rsid w:val="00D14F02"/>
    <w:rsid w:val="00D20F34"/>
    <w:rsid w:val="00D31A38"/>
    <w:rsid w:val="00D33079"/>
    <w:rsid w:val="00D342B0"/>
    <w:rsid w:val="00D37176"/>
    <w:rsid w:val="00D42EFD"/>
    <w:rsid w:val="00D52023"/>
    <w:rsid w:val="00D53443"/>
    <w:rsid w:val="00D57978"/>
    <w:rsid w:val="00D62D21"/>
    <w:rsid w:val="00D74B77"/>
    <w:rsid w:val="00D7630E"/>
    <w:rsid w:val="00D876B5"/>
    <w:rsid w:val="00D931D2"/>
    <w:rsid w:val="00D95798"/>
    <w:rsid w:val="00DC1833"/>
    <w:rsid w:val="00DD69F8"/>
    <w:rsid w:val="00DD7360"/>
    <w:rsid w:val="00DE1CE2"/>
    <w:rsid w:val="00E002BC"/>
    <w:rsid w:val="00E01E93"/>
    <w:rsid w:val="00E054A3"/>
    <w:rsid w:val="00E12522"/>
    <w:rsid w:val="00E12E2E"/>
    <w:rsid w:val="00E45C56"/>
    <w:rsid w:val="00E46D0E"/>
    <w:rsid w:val="00E47FBF"/>
    <w:rsid w:val="00E51A39"/>
    <w:rsid w:val="00E5306A"/>
    <w:rsid w:val="00E57FAB"/>
    <w:rsid w:val="00E63497"/>
    <w:rsid w:val="00E64EAF"/>
    <w:rsid w:val="00E662EC"/>
    <w:rsid w:val="00E7496E"/>
    <w:rsid w:val="00E768DB"/>
    <w:rsid w:val="00E77444"/>
    <w:rsid w:val="00E81BAD"/>
    <w:rsid w:val="00E9362D"/>
    <w:rsid w:val="00E96685"/>
    <w:rsid w:val="00EA334D"/>
    <w:rsid w:val="00EA4DD3"/>
    <w:rsid w:val="00EA591F"/>
    <w:rsid w:val="00EA7ED9"/>
    <w:rsid w:val="00EB516D"/>
    <w:rsid w:val="00EC1B6D"/>
    <w:rsid w:val="00ED080F"/>
    <w:rsid w:val="00ED6A34"/>
    <w:rsid w:val="00EF1016"/>
    <w:rsid w:val="00F031E2"/>
    <w:rsid w:val="00F0377F"/>
    <w:rsid w:val="00F07425"/>
    <w:rsid w:val="00F1070E"/>
    <w:rsid w:val="00F12C97"/>
    <w:rsid w:val="00F16B82"/>
    <w:rsid w:val="00F251D1"/>
    <w:rsid w:val="00F3195F"/>
    <w:rsid w:val="00F34F08"/>
    <w:rsid w:val="00F366BA"/>
    <w:rsid w:val="00F37DB5"/>
    <w:rsid w:val="00F43574"/>
    <w:rsid w:val="00F43B6C"/>
    <w:rsid w:val="00F46846"/>
    <w:rsid w:val="00F511E9"/>
    <w:rsid w:val="00F52E77"/>
    <w:rsid w:val="00F740CC"/>
    <w:rsid w:val="00F76A58"/>
    <w:rsid w:val="00F82653"/>
    <w:rsid w:val="00F95EB4"/>
    <w:rsid w:val="00F97A4D"/>
    <w:rsid w:val="00FA06CA"/>
    <w:rsid w:val="00FA2FC2"/>
    <w:rsid w:val="00FA3BC5"/>
    <w:rsid w:val="00FA77C7"/>
    <w:rsid w:val="00FC1528"/>
    <w:rsid w:val="00FC5A9A"/>
    <w:rsid w:val="00FE6CF0"/>
    <w:rsid w:val="00FF4187"/>
    <w:rsid w:val="00FF7968"/>
    <w:rsid w:val="01A81D9E"/>
    <w:rsid w:val="03DB2583"/>
    <w:rsid w:val="04573710"/>
    <w:rsid w:val="04AE18D1"/>
    <w:rsid w:val="04D30654"/>
    <w:rsid w:val="0588223D"/>
    <w:rsid w:val="05C375FE"/>
    <w:rsid w:val="06734B80"/>
    <w:rsid w:val="0754675F"/>
    <w:rsid w:val="07F95559"/>
    <w:rsid w:val="098F44C1"/>
    <w:rsid w:val="099A79C2"/>
    <w:rsid w:val="09A85265"/>
    <w:rsid w:val="0ADC7C4A"/>
    <w:rsid w:val="0C193AD3"/>
    <w:rsid w:val="0C723CA1"/>
    <w:rsid w:val="0CF532C0"/>
    <w:rsid w:val="0F072309"/>
    <w:rsid w:val="0F264E85"/>
    <w:rsid w:val="0F4A4EE5"/>
    <w:rsid w:val="12FE0489"/>
    <w:rsid w:val="13286CF2"/>
    <w:rsid w:val="14445DAD"/>
    <w:rsid w:val="150D43F1"/>
    <w:rsid w:val="156E65DC"/>
    <w:rsid w:val="16B65F5A"/>
    <w:rsid w:val="17903AC1"/>
    <w:rsid w:val="17F200CF"/>
    <w:rsid w:val="19C24AFF"/>
    <w:rsid w:val="1C035C22"/>
    <w:rsid w:val="1CFE6A2C"/>
    <w:rsid w:val="1DB93368"/>
    <w:rsid w:val="1DBC69B5"/>
    <w:rsid w:val="1EFD2C73"/>
    <w:rsid w:val="201767F8"/>
    <w:rsid w:val="21486EDD"/>
    <w:rsid w:val="2342795C"/>
    <w:rsid w:val="24ED56A6"/>
    <w:rsid w:val="27133AE9"/>
    <w:rsid w:val="28862066"/>
    <w:rsid w:val="28CB1E01"/>
    <w:rsid w:val="29EE439A"/>
    <w:rsid w:val="2ABB27C0"/>
    <w:rsid w:val="2AC73C1A"/>
    <w:rsid w:val="2B65243A"/>
    <w:rsid w:val="2BB46F1D"/>
    <w:rsid w:val="2BBC25D5"/>
    <w:rsid w:val="2DE34A58"/>
    <w:rsid w:val="2E3600BD"/>
    <w:rsid w:val="2E951EE6"/>
    <w:rsid w:val="2F5F67B5"/>
    <w:rsid w:val="3166515D"/>
    <w:rsid w:val="31794E91"/>
    <w:rsid w:val="320F30FF"/>
    <w:rsid w:val="325D20BC"/>
    <w:rsid w:val="32D85BE7"/>
    <w:rsid w:val="35066230"/>
    <w:rsid w:val="354B444E"/>
    <w:rsid w:val="35D408E8"/>
    <w:rsid w:val="35FC1BEC"/>
    <w:rsid w:val="36067DDC"/>
    <w:rsid w:val="36DB3EF8"/>
    <w:rsid w:val="37E868CC"/>
    <w:rsid w:val="3A961614"/>
    <w:rsid w:val="3D17730C"/>
    <w:rsid w:val="3D716BB8"/>
    <w:rsid w:val="3E70553F"/>
    <w:rsid w:val="3F71263C"/>
    <w:rsid w:val="412C782A"/>
    <w:rsid w:val="41766CF7"/>
    <w:rsid w:val="42690F05"/>
    <w:rsid w:val="43340C18"/>
    <w:rsid w:val="45BF6144"/>
    <w:rsid w:val="46284338"/>
    <w:rsid w:val="4651388E"/>
    <w:rsid w:val="46712183"/>
    <w:rsid w:val="46AC6D17"/>
    <w:rsid w:val="46BB2548"/>
    <w:rsid w:val="46F54B62"/>
    <w:rsid w:val="48141018"/>
    <w:rsid w:val="48D10CB7"/>
    <w:rsid w:val="49FE5ADB"/>
    <w:rsid w:val="4C07336D"/>
    <w:rsid w:val="4C114E00"/>
    <w:rsid w:val="4DEF40B9"/>
    <w:rsid w:val="4E6F10E4"/>
    <w:rsid w:val="4F9C799D"/>
    <w:rsid w:val="4FB8497E"/>
    <w:rsid w:val="4FBA06F6"/>
    <w:rsid w:val="504837B6"/>
    <w:rsid w:val="505B3C87"/>
    <w:rsid w:val="5302488E"/>
    <w:rsid w:val="54A6749B"/>
    <w:rsid w:val="55795327"/>
    <w:rsid w:val="55F304BE"/>
    <w:rsid w:val="5A6015D4"/>
    <w:rsid w:val="5B101B12"/>
    <w:rsid w:val="5B863B83"/>
    <w:rsid w:val="5BAA4FC0"/>
    <w:rsid w:val="5C6914DA"/>
    <w:rsid w:val="5C82259C"/>
    <w:rsid w:val="5D131446"/>
    <w:rsid w:val="5DD46E27"/>
    <w:rsid w:val="5ED52E57"/>
    <w:rsid w:val="5F0279C4"/>
    <w:rsid w:val="614B5E35"/>
    <w:rsid w:val="620D62B0"/>
    <w:rsid w:val="63F43D7F"/>
    <w:rsid w:val="64474C73"/>
    <w:rsid w:val="65B17A4E"/>
    <w:rsid w:val="65D75707"/>
    <w:rsid w:val="65E50B86"/>
    <w:rsid w:val="670C0300"/>
    <w:rsid w:val="686B0388"/>
    <w:rsid w:val="69BD137A"/>
    <w:rsid w:val="6A9E4786"/>
    <w:rsid w:val="6C1F3963"/>
    <w:rsid w:val="6C4038DA"/>
    <w:rsid w:val="6CF94E2F"/>
    <w:rsid w:val="6D586BC9"/>
    <w:rsid w:val="6D5B64B3"/>
    <w:rsid w:val="6D9F3BE5"/>
    <w:rsid w:val="6EF47329"/>
    <w:rsid w:val="6F4615BE"/>
    <w:rsid w:val="70E21403"/>
    <w:rsid w:val="71F3606C"/>
    <w:rsid w:val="72693B8A"/>
    <w:rsid w:val="72F43415"/>
    <w:rsid w:val="77FE33CF"/>
    <w:rsid w:val="7856695F"/>
    <w:rsid w:val="786A240A"/>
    <w:rsid w:val="79B002F1"/>
    <w:rsid w:val="7AB47055"/>
    <w:rsid w:val="7BB816DF"/>
    <w:rsid w:val="7C934725"/>
    <w:rsid w:val="7D6431E0"/>
    <w:rsid w:val="7EB30AC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4D3E"/>
  <w15:docId w15:val="{379B27C9-9D06-48F8-BAB6-9DAB4EA0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hAnsiTheme="minorHAnsi" w:cstheme="minorBidi"/>
      <w:sz w:val="22"/>
      <w:szCs w:val="28"/>
      <w:lang w:val="en-US"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513"/>
        <w:tab w:val="right" w:pos="9026"/>
      </w:tabs>
      <w:spacing w:after="0" w:line="240" w:lineRule="auto"/>
    </w:pPr>
    <w:rPr>
      <w:rFonts w:ascii="Times New Roman" w:eastAsia="Batang" w:hAnsi="Times New Roman" w:cs="Angsana New"/>
      <w:sz w:val="24"/>
      <w:lang w:eastAsia="ko-KR"/>
    </w:rPr>
  </w:style>
  <w:style w:type="paragraph" w:styleId="NormalWeb">
    <w:name w:val="Normal (Web)"/>
    <w:basedOn w:val="Normal"/>
    <w:uiPriority w:val="99"/>
    <w:unhideWhenUsed/>
    <w:qFormat/>
    <w:pPr>
      <w:spacing w:before="100" w:beforeAutospacing="1" w:after="100" w:afterAutospacing="1" w:line="240" w:lineRule="auto"/>
    </w:pPr>
    <w:rPr>
      <w:rFonts w:ascii="Tahoma" w:eastAsia="Times New Roman" w:hAnsi="Tahoma" w:cs="Tahoma"/>
      <w:sz w:val="24"/>
      <w:szCs w:val="24"/>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customStyle="1" w:styleId="ArticleTitle">
    <w:name w:val="Article Title"/>
    <w:basedOn w:val="Normal"/>
    <w:link w:val="ArticleTitleChar"/>
    <w:qFormat/>
    <w:pPr>
      <w:spacing w:after="0" w:line="240" w:lineRule="auto"/>
      <w:jc w:val="center"/>
    </w:pPr>
    <w:rPr>
      <w:rFonts w:ascii="TH Sarabun New" w:hAnsi="TH Sarabun New" w:cs="TH Sarabun New"/>
      <w:b/>
      <w:bCs/>
      <w:sz w:val="40"/>
      <w:szCs w:val="40"/>
    </w:rPr>
  </w:style>
  <w:style w:type="paragraph" w:customStyle="1" w:styleId="Authors">
    <w:name w:val="Author(s)"/>
    <w:basedOn w:val="Normal"/>
    <w:link w:val="AuthorsChar"/>
    <w:qFormat/>
    <w:pPr>
      <w:spacing w:after="0" w:line="240" w:lineRule="auto"/>
      <w:jc w:val="center"/>
    </w:pPr>
    <w:rPr>
      <w:rFonts w:ascii="TH Sarabun New" w:hAnsi="TH Sarabun New" w:cs="TH Sarabun New"/>
      <w:sz w:val="32"/>
      <w:szCs w:val="32"/>
    </w:rPr>
  </w:style>
  <w:style w:type="character" w:customStyle="1" w:styleId="ArticleTitleChar">
    <w:name w:val="Article Title Char"/>
    <w:basedOn w:val="DefaultParagraphFont"/>
    <w:link w:val="ArticleTitle"/>
    <w:qFormat/>
    <w:rPr>
      <w:rFonts w:ascii="TH Sarabun New" w:hAnsi="TH Sarabun New" w:cs="TH Sarabun New"/>
      <w:b/>
      <w:bCs/>
      <w:sz w:val="40"/>
      <w:szCs w:val="40"/>
    </w:rPr>
  </w:style>
  <w:style w:type="paragraph" w:customStyle="1" w:styleId="Affiliation">
    <w:name w:val="Affiliation"/>
    <w:basedOn w:val="Normal"/>
    <w:link w:val="AffiliationChar"/>
    <w:qFormat/>
    <w:pPr>
      <w:spacing w:after="0" w:line="240" w:lineRule="auto"/>
      <w:jc w:val="center"/>
    </w:pPr>
    <w:rPr>
      <w:rFonts w:ascii="TH Sarabun New" w:hAnsi="TH Sarabun New" w:cs="TH Sarabun New"/>
      <w:i/>
      <w:iCs/>
      <w:sz w:val="28"/>
    </w:rPr>
  </w:style>
  <w:style w:type="character" w:customStyle="1" w:styleId="AuthorsChar">
    <w:name w:val="Author(s) Char"/>
    <w:basedOn w:val="DefaultParagraphFont"/>
    <w:link w:val="Authors"/>
    <w:qFormat/>
    <w:rPr>
      <w:rFonts w:ascii="TH Sarabun New" w:hAnsi="TH Sarabun New" w:cs="TH Sarabun New"/>
      <w:sz w:val="32"/>
      <w:szCs w:val="32"/>
    </w:rPr>
  </w:style>
  <w:style w:type="paragraph" w:customStyle="1" w:styleId="E-mail">
    <w:name w:val="E-mail"/>
    <w:basedOn w:val="Normal"/>
    <w:link w:val="E-mailChar"/>
    <w:qFormat/>
    <w:pPr>
      <w:spacing w:after="0" w:line="240" w:lineRule="auto"/>
      <w:jc w:val="center"/>
    </w:pPr>
    <w:rPr>
      <w:rFonts w:ascii="TH Sarabun New" w:hAnsi="TH Sarabun New" w:cs="TH Sarabun New"/>
      <w:sz w:val="24"/>
      <w:szCs w:val="24"/>
    </w:rPr>
  </w:style>
  <w:style w:type="character" w:customStyle="1" w:styleId="AffiliationChar">
    <w:name w:val="Affiliation Char"/>
    <w:basedOn w:val="DefaultParagraphFont"/>
    <w:link w:val="Affiliation"/>
    <w:qFormat/>
    <w:rPr>
      <w:rFonts w:ascii="TH Sarabun New" w:hAnsi="TH Sarabun New" w:cs="TH Sarabun New"/>
      <w:i/>
      <w:iCs/>
      <w:sz w:val="28"/>
    </w:rPr>
  </w:style>
  <w:style w:type="character" w:customStyle="1" w:styleId="E-mailChar">
    <w:name w:val="E-mail Char"/>
    <w:basedOn w:val="DefaultParagraphFont"/>
    <w:link w:val="E-mail"/>
    <w:qFormat/>
    <w:rPr>
      <w:rFonts w:ascii="TH Sarabun New" w:hAnsi="TH Sarabun New" w:cs="TH Sarabun New"/>
      <w:sz w:val="24"/>
      <w:szCs w:val="24"/>
    </w:rPr>
  </w:style>
  <w:style w:type="character" w:customStyle="1" w:styleId="HeaderChar">
    <w:name w:val="Header Char"/>
    <w:basedOn w:val="DefaultParagraphFont"/>
    <w:link w:val="Header"/>
    <w:uiPriority w:val="99"/>
    <w:qFormat/>
    <w:rPr>
      <w:rFonts w:ascii="Times New Roman" w:eastAsia="Batang" w:hAnsi="Times New Roman" w:cs="Angsana New"/>
      <w:sz w:val="24"/>
      <w:lang w:eastAsia="ko-KR"/>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ferences">
    <w:name w:val="References"/>
    <w:basedOn w:val="Normal"/>
    <w:link w:val="ReferencesChar"/>
    <w:qFormat/>
    <w:pPr>
      <w:spacing w:after="0" w:line="20" w:lineRule="atLeast"/>
      <w:ind w:left="426" w:hanging="426"/>
      <w:jc w:val="both"/>
    </w:pPr>
    <w:rPr>
      <w:rFonts w:ascii="TH Sarabun New" w:hAnsi="TH Sarabun New" w:cs="TH Sarabun New"/>
      <w:sz w:val="24"/>
      <w:szCs w:val="24"/>
    </w:rPr>
  </w:style>
  <w:style w:type="character" w:customStyle="1" w:styleId="ReferencesChar">
    <w:name w:val="References Char"/>
    <w:basedOn w:val="DefaultParagraphFont"/>
    <w:link w:val="References"/>
    <w:qFormat/>
    <w:rPr>
      <w:rFonts w:ascii="TH Sarabun New" w:hAnsi="TH Sarabun New" w:cs="TH Sarabun New"/>
      <w:sz w:val="24"/>
      <w:szCs w:val="24"/>
    </w:rPr>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paragraph" w:customStyle="1" w:styleId="Abstract">
    <w:name w:val="Abstract"/>
    <w:basedOn w:val="Normal"/>
    <w:link w:val="AbstractChar"/>
    <w:qFormat/>
    <w:pPr>
      <w:spacing w:after="0" w:line="20" w:lineRule="atLeast"/>
      <w:ind w:firstLine="284"/>
      <w:jc w:val="both"/>
    </w:pPr>
    <w:rPr>
      <w:rFonts w:ascii="TH Sarabun New" w:hAnsi="TH Sarabun New" w:cs="TH Sarabun New"/>
      <w:sz w:val="28"/>
    </w:rPr>
  </w:style>
  <w:style w:type="paragraph" w:customStyle="1" w:styleId="Section">
    <w:name w:val="Section"/>
    <w:basedOn w:val="Normal"/>
    <w:link w:val="SectionChar"/>
    <w:qFormat/>
    <w:pPr>
      <w:spacing w:after="0" w:line="20" w:lineRule="atLeast"/>
    </w:pPr>
    <w:rPr>
      <w:rFonts w:ascii="TH Sarabun New" w:hAnsi="TH Sarabun New" w:cs="TH Sarabun New"/>
      <w:b/>
      <w:bCs/>
      <w:sz w:val="32"/>
      <w:szCs w:val="32"/>
    </w:rPr>
  </w:style>
  <w:style w:type="character" w:customStyle="1" w:styleId="AbstractChar">
    <w:name w:val="Abstract Char"/>
    <w:basedOn w:val="DefaultParagraphFont"/>
    <w:link w:val="Abstract"/>
    <w:qFormat/>
    <w:rPr>
      <w:rFonts w:ascii="TH Sarabun New" w:hAnsi="TH Sarabun New" w:cs="TH Sarabun New"/>
      <w:sz w:val="28"/>
    </w:rPr>
  </w:style>
  <w:style w:type="paragraph" w:customStyle="1" w:styleId="Content">
    <w:name w:val="Content"/>
    <w:basedOn w:val="Normal"/>
    <w:link w:val="ContentChar"/>
    <w:qFormat/>
    <w:pPr>
      <w:spacing w:after="0" w:line="20" w:lineRule="atLeast"/>
      <w:ind w:firstLine="284"/>
      <w:jc w:val="both"/>
    </w:pPr>
    <w:rPr>
      <w:rFonts w:ascii="TH Sarabun New" w:hAnsi="TH Sarabun New" w:cs="TH Sarabun New"/>
      <w:sz w:val="28"/>
    </w:rPr>
  </w:style>
  <w:style w:type="character" w:customStyle="1" w:styleId="SectionChar">
    <w:name w:val="Section Char"/>
    <w:basedOn w:val="DefaultParagraphFont"/>
    <w:link w:val="Section"/>
    <w:qFormat/>
    <w:rPr>
      <w:rFonts w:ascii="TH Sarabun New" w:hAnsi="TH Sarabun New" w:cs="TH Sarabun New"/>
      <w:b/>
      <w:bCs/>
      <w:sz w:val="32"/>
      <w:szCs w:val="32"/>
    </w:rPr>
  </w:style>
  <w:style w:type="paragraph" w:customStyle="1" w:styleId="FigureTableCaption">
    <w:name w:val="Figure &amp; Table Caption"/>
    <w:basedOn w:val="Normal"/>
    <w:link w:val="FigureTableCaptionChar"/>
    <w:qFormat/>
    <w:pPr>
      <w:spacing w:after="0" w:line="20" w:lineRule="atLeast"/>
      <w:jc w:val="center"/>
    </w:pPr>
    <w:rPr>
      <w:rFonts w:ascii="TH Sarabun New" w:hAnsi="TH Sarabun New" w:cs="TH Sarabun New"/>
      <w:sz w:val="24"/>
      <w:szCs w:val="24"/>
    </w:rPr>
  </w:style>
  <w:style w:type="character" w:customStyle="1" w:styleId="ContentChar">
    <w:name w:val="Content Char"/>
    <w:basedOn w:val="DefaultParagraphFont"/>
    <w:link w:val="Content"/>
    <w:qFormat/>
    <w:rPr>
      <w:rFonts w:ascii="TH Sarabun New" w:hAnsi="TH Sarabun New" w:cs="TH Sarabun New"/>
      <w:sz w:val="28"/>
    </w:rPr>
  </w:style>
  <w:style w:type="character" w:customStyle="1" w:styleId="FigureTableCaptionChar">
    <w:name w:val="Figure &amp; Table Caption Char"/>
    <w:basedOn w:val="DefaultParagraphFont"/>
    <w:link w:val="FigureTableCaption"/>
    <w:qFormat/>
    <w:rPr>
      <w:rFonts w:ascii="TH Sarabun New" w:hAnsi="TH Sarabun New" w:cs="TH Sarabun New"/>
      <w:sz w:val="24"/>
      <w:szCs w:val="24"/>
    </w:rPr>
  </w:style>
  <w:style w:type="paragraph" w:customStyle="1" w:styleId="Keywords">
    <w:name w:val="Keywords"/>
    <w:basedOn w:val="Normal"/>
    <w:link w:val="KeywordsChar"/>
    <w:qFormat/>
    <w:pPr>
      <w:spacing w:after="0" w:line="20" w:lineRule="atLeast"/>
      <w:jc w:val="both"/>
    </w:pPr>
    <w:rPr>
      <w:rFonts w:ascii="TH Sarabun New" w:hAnsi="TH Sarabun New" w:cs="TH Sarabun New"/>
      <w:sz w:val="28"/>
    </w:rPr>
  </w:style>
  <w:style w:type="character" w:customStyle="1" w:styleId="KeywordsChar">
    <w:name w:val="Keywords Char"/>
    <w:basedOn w:val="DefaultParagraphFont"/>
    <w:link w:val="Keywords"/>
    <w:qFormat/>
    <w:rPr>
      <w:rFonts w:ascii="TH Sarabun New" w:hAnsi="TH Sarabun New" w:cs="TH Sarabun New"/>
      <w:sz w:val="28"/>
    </w:rPr>
  </w:style>
  <w:style w:type="paragraph" w:customStyle="1" w:styleId="Note">
    <w:name w:val="Note"/>
    <w:basedOn w:val="Normal"/>
    <w:link w:val="NoteChar"/>
    <w:qFormat/>
    <w:pPr>
      <w:spacing w:after="0" w:line="20" w:lineRule="atLeast"/>
    </w:pPr>
    <w:rPr>
      <w:rFonts w:ascii="TH Sarabun New" w:hAnsi="TH Sarabun New" w:cs="TH Sarabun New"/>
      <w:i/>
      <w:iCs/>
      <w:sz w:val="24"/>
      <w:szCs w:val="24"/>
    </w:rPr>
  </w:style>
  <w:style w:type="paragraph" w:customStyle="1" w:styleId="Level2Headings">
    <w:name w:val="Level 2 Headings"/>
    <w:basedOn w:val="Normal"/>
    <w:link w:val="Level2HeadingsChar"/>
    <w:qFormat/>
    <w:pPr>
      <w:spacing w:after="0" w:line="20" w:lineRule="atLeast"/>
      <w:jc w:val="both"/>
    </w:pPr>
    <w:rPr>
      <w:rFonts w:ascii="TH Sarabun New" w:hAnsi="TH Sarabun New" w:cs="TH Sarabun New"/>
      <w:b/>
      <w:bCs/>
      <w:i/>
      <w:iCs/>
      <w:sz w:val="28"/>
    </w:rPr>
  </w:style>
  <w:style w:type="character" w:customStyle="1" w:styleId="NoteChar">
    <w:name w:val="Note Char"/>
    <w:basedOn w:val="DefaultParagraphFont"/>
    <w:link w:val="Note"/>
    <w:qFormat/>
    <w:rPr>
      <w:rFonts w:ascii="TH Sarabun New" w:hAnsi="TH Sarabun New" w:cs="TH Sarabun New"/>
      <w:i/>
      <w:iCs/>
      <w:sz w:val="24"/>
      <w:szCs w:val="24"/>
    </w:rPr>
  </w:style>
  <w:style w:type="paragraph" w:customStyle="1" w:styleId="Level3Headings">
    <w:name w:val="Level 3 Headings"/>
    <w:basedOn w:val="Normal"/>
    <w:link w:val="Level3HeadingsChar"/>
    <w:qFormat/>
    <w:pPr>
      <w:spacing w:after="0" w:line="20" w:lineRule="atLeast"/>
      <w:ind w:firstLine="284"/>
      <w:jc w:val="both"/>
    </w:pPr>
    <w:rPr>
      <w:rFonts w:ascii="TH Sarabun New" w:hAnsi="TH Sarabun New" w:cs="TH Sarabun New"/>
      <w:i/>
      <w:iCs/>
      <w:sz w:val="28"/>
    </w:rPr>
  </w:style>
  <w:style w:type="character" w:customStyle="1" w:styleId="Level2HeadingsChar">
    <w:name w:val="Level 2 Headings Char"/>
    <w:basedOn w:val="DefaultParagraphFont"/>
    <w:link w:val="Level2Headings"/>
    <w:qFormat/>
    <w:rPr>
      <w:rFonts w:ascii="TH Sarabun New" w:hAnsi="TH Sarabun New" w:cs="TH Sarabun New"/>
      <w:b/>
      <w:bCs/>
      <w:i/>
      <w:iCs/>
      <w:sz w:val="28"/>
    </w:rPr>
  </w:style>
  <w:style w:type="character" w:customStyle="1" w:styleId="Level3HeadingsChar">
    <w:name w:val="Level 3 Headings Char"/>
    <w:basedOn w:val="DefaultParagraphFont"/>
    <w:link w:val="Level3Headings"/>
    <w:qFormat/>
    <w:rPr>
      <w:rFonts w:ascii="TH Sarabun New" w:hAnsi="TH Sarabun New" w:cs="TH Sarabun New"/>
      <w:i/>
      <w:iCs/>
      <w:sz w:val="28"/>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6017/j.cnki.xwahz.2025.11.02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D6F8B01-F1B2-4BC3-AE44-25705D18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6735</Words>
  <Characters>38390</Characters>
  <Application>Microsoft Office Word</Application>
  <DocSecurity>0</DocSecurity>
  <Lines>319</Lines>
  <Paragraphs>90</Paragraphs>
  <ScaleCrop>false</ScaleCrop>
  <Company/>
  <LinksUpToDate>false</LinksUpToDate>
  <CharactersWithSpaces>45035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TNI Journal (K)</dc:creator>
  <cp:lastModifiedBy>User</cp:lastModifiedBy>
  <cp:revision>2</cp:revision>
  <dcterms:created xsi:type="dcterms:W3CDTF">2026-02-21T04:32:00Z</dcterms:created>
  <dcterms:modified xsi:type="dcterms:W3CDTF">2026-02-21T04:32:00Z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97D448C485C34FFBA7798A265BC7C6D1_13</vt:lpwstr>
  </property>
  <property fmtid="{D5CDD505-2E9C-101B-9397-08002B2CF9AE}" pid="4" name="KSOTemplateDocerSaveRecord">
    <vt:lpwstr>eyJoZGlkIjoiNDU2NmQxMWRkOTY3YTQ5YjZmM2U4ZmE5MDg4ZWQyYWYiLCJ1c2VySWQiOiIyNzQwMzIzNTkifQ==</vt:lpwstr>
  </property>
</Properties>
</file>