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17A" w:rsidRPr="00BE6EE7" w:rsidRDefault="00BE6EE7" w:rsidP="001E158D">
      <w:pPr>
        <w:spacing w:after="240" w:line="240" w:lineRule="auto"/>
        <w:jc w:val="center"/>
        <w:rPr>
          <w:rFonts w:ascii="Times New Roman" w:hAnsi="Times New Roman" w:cs="Times New Roman"/>
          <w:b/>
          <w:sz w:val="24"/>
          <w:szCs w:val="24"/>
          <w:lang w:val="id-ID"/>
        </w:rPr>
      </w:pPr>
      <w:r w:rsidRPr="001E158D">
        <w:rPr>
          <w:rFonts w:ascii="Times New Roman" w:hAnsi="Times New Roman" w:cs="Times New Roman"/>
          <w:b/>
          <w:sz w:val="24"/>
          <w:szCs w:val="24"/>
          <w:lang w:val="id-ID"/>
        </w:rPr>
        <w:t>DAYA SAING EKSPOR KOMODITAS TEMBAKAU INDONESIA SELAMA PANDEMI COVID-19</w:t>
      </w:r>
    </w:p>
    <w:p w:rsidR="00BB217A" w:rsidRPr="00FA630C" w:rsidRDefault="00470587" w:rsidP="00901FB3">
      <w:pPr>
        <w:spacing w:after="240" w:line="240" w:lineRule="auto"/>
        <w:jc w:val="center"/>
        <w:rPr>
          <w:rFonts w:ascii="Times New Roman" w:hAnsi="Times New Roman" w:cs="Times New Roman"/>
          <w:b/>
          <w:sz w:val="20"/>
          <w:szCs w:val="20"/>
          <w:vertAlign w:val="superscript"/>
          <w:lang w:val="id-ID"/>
        </w:rPr>
      </w:pPr>
      <w:r w:rsidRPr="00FA630C">
        <w:rPr>
          <w:rFonts w:ascii="Times New Roman" w:hAnsi="Times New Roman" w:cs="Times New Roman"/>
          <w:b/>
          <w:sz w:val="20"/>
          <w:szCs w:val="20"/>
          <w:lang w:val="id-ID"/>
        </w:rPr>
        <w:t>Riska Lujeng</w:t>
      </w:r>
      <w:r w:rsidR="00B24B50" w:rsidRPr="00FA630C">
        <w:rPr>
          <w:rFonts w:ascii="Times New Roman" w:hAnsi="Times New Roman" w:cs="Times New Roman"/>
          <w:b/>
          <w:sz w:val="20"/>
          <w:szCs w:val="20"/>
          <w:lang w:val="id-ID"/>
        </w:rPr>
        <w:t xml:space="preserve"> Fitrianti</w:t>
      </w:r>
      <w:r w:rsidR="00B24B50" w:rsidRPr="00FA630C">
        <w:rPr>
          <w:rFonts w:ascii="Times New Roman" w:hAnsi="Times New Roman" w:cs="Times New Roman"/>
          <w:b/>
          <w:sz w:val="20"/>
          <w:szCs w:val="20"/>
          <w:vertAlign w:val="superscript"/>
          <w:lang w:val="id-ID"/>
        </w:rPr>
        <w:t>1</w:t>
      </w:r>
      <w:r w:rsidR="007B35D3" w:rsidRPr="00FA630C">
        <w:rPr>
          <w:rFonts w:ascii="Times New Roman" w:hAnsi="Times New Roman" w:cs="Times New Roman"/>
          <w:b/>
          <w:sz w:val="20"/>
          <w:szCs w:val="20"/>
          <w:lang w:val="id-ID"/>
        </w:rPr>
        <w:t>*</w:t>
      </w:r>
      <w:r w:rsidR="00B24B50" w:rsidRPr="00FA630C">
        <w:rPr>
          <w:rFonts w:ascii="Times New Roman" w:hAnsi="Times New Roman" w:cs="Times New Roman"/>
          <w:b/>
          <w:sz w:val="20"/>
          <w:szCs w:val="20"/>
          <w:lang w:val="id-ID"/>
        </w:rPr>
        <w:t>, Ahmad Zainuddin</w:t>
      </w:r>
      <w:r w:rsidR="00CB144D" w:rsidRPr="00FA630C">
        <w:rPr>
          <w:rFonts w:ascii="Times New Roman" w:hAnsi="Times New Roman" w:cs="Times New Roman"/>
          <w:b/>
          <w:sz w:val="20"/>
          <w:szCs w:val="20"/>
          <w:vertAlign w:val="superscript"/>
          <w:lang w:val="id-ID"/>
        </w:rPr>
        <w:t>2</w:t>
      </w:r>
      <w:r w:rsidRPr="00FA630C">
        <w:rPr>
          <w:rFonts w:ascii="Times New Roman" w:hAnsi="Times New Roman" w:cs="Times New Roman"/>
          <w:b/>
          <w:sz w:val="20"/>
          <w:szCs w:val="20"/>
          <w:lang w:val="id-ID"/>
        </w:rPr>
        <w:t>, Saktyanu Kristyantoadi</w:t>
      </w:r>
      <w:r w:rsidR="00B24B50" w:rsidRPr="00FA630C">
        <w:rPr>
          <w:rFonts w:ascii="Times New Roman" w:hAnsi="Times New Roman" w:cs="Times New Roman"/>
          <w:b/>
          <w:sz w:val="20"/>
          <w:szCs w:val="20"/>
          <w:lang w:val="id-ID"/>
        </w:rPr>
        <w:t xml:space="preserve"> Dermoredjo</w:t>
      </w:r>
      <w:r w:rsidR="00B24B50" w:rsidRPr="00FA630C">
        <w:rPr>
          <w:rFonts w:ascii="Times New Roman" w:hAnsi="Times New Roman" w:cs="Times New Roman"/>
          <w:b/>
          <w:sz w:val="20"/>
          <w:szCs w:val="20"/>
          <w:vertAlign w:val="superscript"/>
          <w:lang w:val="id-ID"/>
        </w:rPr>
        <w:t>3</w:t>
      </w:r>
    </w:p>
    <w:p w:rsidR="00B24B50" w:rsidRPr="00FA630C" w:rsidRDefault="00B24B50" w:rsidP="00901FB3">
      <w:pPr>
        <w:spacing w:after="120" w:line="240" w:lineRule="auto"/>
        <w:jc w:val="center"/>
        <w:rPr>
          <w:rFonts w:ascii="Times New Roman" w:hAnsi="Times New Roman" w:cs="Times New Roman"/>
          <w:sz w:val="20"/>
          <w:szCs w:val="20"/>
          <w:lang w:val="id-ID"/>
        </w:rPr>
      </w:pPr>
      <w:r w:rsidRPr="00FA630C">
        <w:rPr>
          <w:rFonts w:ascii="Times New Roman" w:hAnsi="Times New Roman" w:cs="Times New Roman"/>
          <w:sz w:val="20"/>
          <w:szCs w:val="20"/>
          <w:vertAlign w:val="superscript"/>
          <w:lang w:val="id-ID"/>
        </w:rPr>
        <w:t>1</w:t>
      </w:r>
      <w:r w:rsidR="00CB144D" w:rsidRPr="00FA630C">
        <w:rPr>
          <w:rFonts w:ascii="Times New Roman" w:hAnsi="Times New Roman" w:cs="Times New Roman"/>
          <w:sz w:val="20"/>
          <w:szCs w:val="20"/>
          <w:vertAlign w:val="superscript"/>
          <w:lang w:val="id-ID"/>
        </w:rPr>
        <w:t>,2</w:t>
      </w:r>
      <w:r w:rsidRPr="00FA630C">
        <w:rPr>
          <w:rFonts w:ascii="Times New Roman" w:hAnsi="Times New Roman" w:cs="Times New Roman"/>
          <w:sz w:val="20"/>
          <w:szCs w:val="20"/>
          <w:lang w:val="id-ID"/>
        </w:rPr>
        <w:t xml:space="preserve">Universitas Jember, Jember, </w:t>
      </w:r>
      <w:r w:rsidR="00CB144D" w:rsidRPr="00FA630C">
        <w:rPr>
          <w:rFonts w:ascii="Times New Roman" w:hAnsi="Times New Roman" w:cs="Times New Roman"/>
          <w:sz w:val="20"/>
          <w:szCs w:val="20"/>
          <w:lang w:val="id-ID"/>
        </w:rPr>
        <w:t>Jawa Timur</w:t>
      </w:r>
    </w:p>
    <w:p w:rsidR="005A0E77" w:rsidRPr="00FA630C" w:rsidRDefault="005A0E77" w:rsidP="00901FB3">
      <w:pPr>
        <w:spacing w:after="120" w:line="240" w:lineRule="auto"/>
        <w:jc w:val="center"/>
        <w:rPr>
          <w:rFonts w:ascii="Times New Roman" w:hAnsi="Times New Roman" w:cs="Times New Roman"/>
          <w:sz w:val="20"/>
          <w:szCs w:val="20"/>
          <w:lang w:val="id-ID"/>
        </w:rPr>
      </w:pPr>
      <w:r w:rsidRPr="00FA630C">
        <w:rPr>
          <w:rFonts w:ascii="Times New Roman" w:hAnsi="Times New Roman" w:cs="Times New Roman"/>
          <w:sz w:val="20"/>
          <w:szCs w:val="20"/>
          <w:vertAlign w:val="superscript"/>
          <w:lang w:val="id-ID"/>
        </w:rPr>
        <w:t>3</w:t>
      </w:r>
      <w:r w:rsidR="00D011FB" w:rsidRPr="00FA630C">
        <w:rPr>
          <w:rFonts w:ascii="Times New Roman" w:hAnsi="Times New Roman" w:cs="Times New Roman"/>
          <w:sz w:val="20"/>
          <w:szCs w:val="20"/>
          <w:lang w:val="id-ID"/>
        </w:rPr>
        <w:t>Ba</w:t>
      </w:r>
      <w:r w:rsidRPr="00FA630C">
        <w:rPr>
          <w:rFonts w:ascii="Times New Roman" w:hAnsi="Times New Roman" w:cs="Times New Roman"/>
          <w:sz w:val="20"/>
          <w:szCs w:val="20"/>
          <w:lang w:val="id-ID"/>
        </w:rPr>
        <w:t xml:space="preserve">dan Riset dan Inovasi Nasional, Jakarta, </w:t>
      </w:r>
      <w:r w:rsidR="00CB144D" w:rsidRPr="00FA630C">
        <w:rPr>
          <w:rFonts w:ascii="Times New Roman" w:hAnsi="Times New Roman" w:cs="Times New Roman"/>
          <w:sz w:val="20"/>
          <w:szCs w:val="20"/>
          <w:lang w:val="id-ID"/>
        </w:rPr>
        <w:t>DKI Jakarta</w:t>
      </w:r>
    </w:p>
    <w:p w:rsidR="00073443" w:rsidRDefault="00073443" w:rsidP="00901FB3">
      <w:pPr>
        <w:spacing w:after="120" w:line="240" w:lineRule="auto"/>
        <w:jc w:val="center"/>
        <w:rPr>
          <w:rStyle w:val="Hyperlink"/>
          <w:rFonts w:ascii="Times New Roman" w:hAnsi="Times New Roman" w:cs="Times New Roman"/>
          <w:color w:val="000000" w:themeColor="text1"/>
          <w:u w:val="none"/>
          <w:lang w:val="id-ID"/>
        </w:rPr>
      </w:pPr>
      <w:r w:rsidRPr="00FA630C">
        <w:rPr>
          <w:rFonts w:ascii="Times New Roman" w:hAnsi="Times New Roman" w:cs="Times New Roman"/>
          <w:i/>
          <w:sz w:val="20"/>
          <w:szCs w:val="20"/>
          <w:lang w:val="id-ID"/>
        </w:rPr>
        <w:t>*</w:t>
      </w:r>
      <w:r w:rsidR="007B35D3" w:rsidRPr="00FA630C">
        <w:rPr>
          <w:rFonts w:ascii="Times New Roman" w:hAnsi="Times New Roman" w:cs="Times New Roman"/>
          <w:i/>
          <w:sz w:val="20"/>
          <w:szCs w:val="20"/>
          <w:lang w:val="id-ID"/>
        </w:rPr>
        <w:t>Corre</w:t>
      </w:r>
      <w:r w:rsidR="00A10B9A">
        <w:rPr>
          <w:rFonts w:ascii="Times New Roman" w:hAnsi="Times New Roman" w:cs="Times New Roman"/>
          <w:i/>
          <w:sz w:val="20"/>
          <w:szCs w:val="20"/>
          <w:lang w:val="id-ID"/>
        </w:rPr>
        <w:t>sponding A</w:t>
      </w:r>
      <w:r w:rsidR="007B35D3" w:rsidRPr="00FA630C">
        <w:rPr>
          <w:rFonts w:ascii="Times New Roman" w:hAnsi="Times New Roman" w:cs="Times New Roman"/>
          <w:i/>
          <w:sz w:val="20"/>
          <w:szCs w:val="20"/>
          <w:lang w:val="id-ID"/>
        </w:rPr>
        <w:t>uthor</w:t>
      </w:r>
      <w:r w:rsidR="00D011FB" w:rsidRPr="00FA630C">
        <w:rPr>
          <w:rFonts w:ascii="Times New Roman" w:hAnsi="Times New Roman" w:cs="Times New Roman"/>
          <w:sz w:val="20"/>
          <w:szCs w:val="20"/>
          <w:lang w:val="id-ID"/>
        </w:rPr>
        <w:t xml:space="preserve">: </w:t>
      </w:r>
      <w:hyperlink r:id="rId8" w:history="1">
        <w:r w:rsidR="00D011FB" w:rsidRPr="00FA630C">
          <w:rPr>
            <w:rStyle w:val="Hyperlink"/>
            <w:rFonts w:ascii="Times New Roman" w:hAnsi="Times New Roman" w:cs="Times New Roman"/>
            <w:sz w:val="20"/>
            <w:szCs w:val="20"/>
            <w:lang w:val="id-ID"/>
          </w:rPr>
          <w:t>riskalujeng311@gmail.com</w:t>
        </w:r>
      </w:hyperlink>
      <w:r w:rsidR="00D57BF5" w:rsidRPr="00BE6EE7">
        <w:rPr>
          <w:rStyle w:val="Hyperlink"/>
          <w:rFonts w:ascii="Times New Roman" w:hAnsi="Times New Roman" w:cs="Times New Roman"/>
          <w:color w:val="000000" w:themeColor="text1"/>
          <w:u w:val="none"/>
          <w:lang w:val="id-ID"/>
        </w:rPr>
        <w:t xml:space="preserve">  </w:t>
      </w:r>
    </w:p>
    <w:p w:rsidR="00901FB3" w:rsidRDefault="00901FB3" w:rsidP="00901FB3">
      <w:pPr>
        <w:spacing w:after="120" w:line="240" w:lineRule="auto"/>
        <w:jc w:val="center"/>
        <w:rPr>
          <w:rStyle w:val="Hyperlink"/>
          <w:rFonts w:ascii="Times New Roman" w:hAnsi="Times New Roman" w:cs="Times New Roman"/>
          <w:color w:val="000000" w:themeColor="text1"/>
          <w:u w:val="none"/>
          <w:lang w:val="id-ID"/>
        </w:rPr>
      </w:pPr>
    </w:p>
    <w:p w:rsidR="00DB62C7" w:rsidRDefault="00DB62C7" w:rsidP="00901FB3">
      <w:pPr>
        <w:spacing w:after="120" w:line="240" w:lineRule="auto"/>
        <w:jc w:val="center"/>
        <w:rPr>
          <w:rStyle w:val="Hyperlink"/>
          <w:rFonts w:ascii="Times New Roman" w:hAnsi="Times New Roman" w:cs="Times New Roman"/>
          <w:color w:val="000000" w:themeColor="text1"/>
          <w:u w:val="none"/>
          <w:lang w:val="id-ID"/>
        </w:rPr>
      </w:pPr>
    </w:p>
    <w:p w:rsidR="00901FB3" w:rsidRDefault="00DB62C7" w:rsidP="00E215EF">
      <w:pPr>
        <w:spacing w:after="0" w:line="240" w:lineRule="auto"/>
        <w:jc w:val="center"/>
        <w:rPr>
          <w:rStyle w:val="Hyperlink"/>
          <w:rFonts w:ascii="Times New Roman" w:hAnsi="Times New Roman" w:cs="Times New Roman"/>
          <w:b/>
          <w:color w:val="000000" w:themeColor="text1"/>
          <w:sz w:val="24"/>
          <w:szCs w:val="24"/>
          <w:u w:val="none"/>
          <w:lang w:val="id-ID"/>
        </w:rPr>
      </w:pPr>
      <w:r w:rsidRPr="00A836A6">
        <w:rPr>
          <w:rStyle w:val="Hyperlink"/>
          <w:rFonts w:ascii="Times New Roman" w:hAnsi="Times New Roman" w:cs="Times New Roman"/>
          <w:b/>
          <w:color w:val="000000" w:themeColor="text1"/>
          <w:sz w:val="24"/>
          <w:szCs w:val="24"/>
          <w:u w:val="none"/>
          <w:lang w:val="id-ID"/>
        </w:rPr>
        <w:t>ABSTRAK</w:t>
      </w:r>
    </w:p>
    <w:p w:rsidR="00E215EF" w:rsidRPr="00A836A6" w:rsidRDefault="00E215EF" w:rsidP="00E215EF">
      <w:pPr>
        <w:spacing w:after="0" w:line="240" w:lineRule="auto"/>
        <w:jc w:val="center"/>
        <w:rPr>
          <w:rFonts w:ascii="Times New Roman" w:hAnsi="Times New Roman" w:cs="Times New Roman"/>
          <w:b/>
          <w:color w:val="000000" w:themeColor="text1"/>
          <w:sz w:val="24"/>
          <w:szCs w:val="24"/>
          <w:lang w:val="id-ID"/>
        </w:rPr>
      </w:pPr>
    </w:p>
    <w:p w:rsidR="00E20F72" w:rsidRDefault="00E20F72" w:rsidP="00E215EF">
      <w:pPr>
        <w:spacing w:after="0" w:line="240" w:lineRule="auto"/>
        <w:jc w:val="both"/>
        <w:rPr>
          <w:rFonts w:ascii="Times New Roman" w:hAnsi="Times New Roman" w:cs="Times New Roman"/>
          <w:sz w:val="20"/>
          <w:szCs w:val="20"/>
        </w:rPr>
      </w:pPr>
      <w:r w:rsidRPr="00EE4EC6">
        <w:rPr>
          <w:rFonts w:ascii="Times New Roman" w:eastAsia="Times New Roman" w:hAnsi="Times New Roman" w:cs="Times New Roman"/>
          <w:sz w:val="20"/>
          <w:szCs w:val="20"/>
        </w:rPr>
        <w:t xml:space="preserve">Kontribusi cukai dari Industri Hasil Tembakau (IHT) pada tahun 2020 sebesar Rp170,24 triliun atau 96,56% dari seluruh penerimaan cukai Indonesia. Adanya pandemi Covid-19 menyebabkan ekspor tembakau pada tahun 2020 mengalami penurunan sebesar 6,41% atau sebesar 2.134 ton. Berdasarkan kondisi tersebut perlu dilakukan penelitian untuk </w:t>
      </w:r>
      <w:r w:rsidRPr="00EE4EC6">
        <w:rPr>
          <w:rFonts w:ascii="Times New Roman" w:eastAsia="Times New Roman" w:hAnsi="Times New Roman" w:cs="Times New Roman"/>
          <w:color w:val="000000"/>
          <w:sz w:val="20"/>
          <w:szCs w:val="20"/>
        </w:rPr>
        <w:t>menganalisis daya saing ekspor tembakau pada masa pandemi Covid-19 di negara tujuan utama</w:t>
      </w:r>
      <w:r w:rsidRPr="00EE4EC6">
        <w:rPr>
          <w:rFonts w:ascii="Times New Roman" w:eastAsia="Times New Roman" w:hAnsi="Times New Roman" w:cs="Times New Roman"/>
          <w:sz w:val="20"/>
          <w:szCs w:val="20"/>
        </w:rPr>
        <w:t>. Metode pe</w:t>
      </w:r>
      <w:r w:rsidR="0038567D" w:rsidRPr="00EE4EC6">
        <w:rPr>
          <w:rFonts w:ascii="Times New Roman" w:eastAsia="Times New Roman" w:hAnsi="Times New Roman" w:cs="Times New Roman"/>
          <w:sz w:val="20"/>
          <w:szCs w:val="20"/>
        </w:rPr>
        <w:t>nentuan lokasi yang digunakan ada</w:t>
      </w:r>
      <w:r w:rsidRPr="00EE4EC6">
        <w:rPr>
          <w:rFonts w:ascii="Times New Roman" w:eastAsia="Times New Roman" w:hAnsi="Times New Roman" w:cs="Times New Roman"/>
          <w:sz w:val="20"/>
          <w:szCs w:val="20"/>
        </w:rPr>
        <w:t xml:space="preserve">lah </w:t>
      </w:r>
      <w:r w:rsidRPr="00EE4EC6">
        <w:rPr>
          <w:rFonts w:ascii="Times New Roman" w:eastAsia="Times New Roman" w:hAnsi="Times New Roman" w:cs="Times New Roman"/>
          <w:i/>
          <w:sz w:val="20"/>
          <w:szCs w:val="20"/>
        </w:rPr>
        <w:t xml:space="preserve">purposive method </w:t>
      </w:r>
      <w:r w:rsidRPr="00EE4EC6">
        <w:rPr>
          <w:rFonts w:ascii="Times New Roman" w:eastAsia="Times New Roman" w:hAnsi="Times New Roman" w:cs="Times New Roman"/>
          <w:sz w:val="20"/>
          <w:szCs w:val="20"/>
        </w:rPr>
        <w:t xml:space="preserve">yakni pada negara Belgia, Singapura, Republik Dominika, Sri Lanka, Jerman, Belanda, dan Amerika Serikat. Data yang digunakan yakni data </w:t>
      </w:r>
      <w:r w:rsidRPr="00EE4EC6">
        <w:rPr>
          <w:rFonts w:ascii="Times New Roman" w:eastAsia="Times New Roman" w:hAnsi="Times New Roman" w:cs="Times New Roman"/>
          <w:i/>
          <w:sz w:val="20"/>
          <w:szCs w:val="20"/>
        </w:rPr>
        <w:t xml:space="preserve">time series </w:t>
      </w:r>
      <w:r w:rsidRPr="00EE4EC6">
        <w:rPr>
          <w:rFonts w:ascii="Times New Roman" w:eastAsia="Times New Roman" w:hAnsi="Times New Roman" w:cs="Times New Roman"/>
          <w:sz w:val="20"/>
          <w:szCs w:val="20"/>
        </w:rPr>
        <w:t>selama 38 bulan yang dimulai dari bulan Agustus 2018 hingga September 2021. Metode analisis yang digunakan ialah IIT (</w:t>
      </w:r>
      <w:r w:rsidRPr="00EE4EC6">
        <w:rPr>
          <w:rFonts w:ascii="Times New Roman" w:eastAsia="Times New Roman" w:hAnsi="Times New Roman" w:cs="Times New Roman"/>
          <w:i/>
          <w:sz w:val="20"/>
          <w:szCs w:val="20"/>
        </w:rPr>
        <w:t>Intra Industry Trade</w:t>
      </w:r>
      <w:r w:rsidRPr="00EE4EC6">
        <w:rPr>
          <w:rFonts w:ascii="Times New Roman" w:eastAsia="Times New Roman" w:hAnsi="Times New Roman" w:cs="Times New Roman"/>
          <w:sz w:val="20"/>
          <w:szCs w:val="20"/>
        </w:rPr>
        <w:t>), RCA (</w:t>
      </w:r>
      <w:r w:rsidRPr="00EE4EC6">
        <w:rPr>
          <w:rFonts w:ascii="Times New Roman" w:eastAsia="Times New Roman" w:hAnsi="Times New Roman" w:cs="Times New Roman"/>
          <w:i/>
          <w:sz w:val="20"/>
          <w:szCs w:val="20"/>
        </w:rPr>
        <w:t>Revealed Comparatrive Advantage</w:t>
      </w:r>
      <w:r w:rsidRPr="00EE4EC6">
        <w:rPr>
          <w:rFonts w:ascii="Times New Roman" w:eastAsia="Times New Roman" w:hAnsi="Times New Roman" w:cs="Times New Roman"/>
          <w:sz w:val="20"/>
          <w:szCs w:val="20"/>
        </w:rPr>
        <w:t>), dan EPD (</w:t>
      </w:r>
      <w:r w:rsidRPr="00EE4EC6">
        <w:rPr>
          <w:rFonts w:ascii="Times New Roman" w:eastAsia="Times New Roman" w:hAnsi="Times New Roman" w:cs="Times New Roman"/>
          <w:i/>
          <w:sz w:val="20"/>
          <w:szCs w:val="20"/>
        </w:rPr>
        <w:t>Export Product Dynamic</w:t>
      </w:r>
      <w:r w:rsidRPr="00EE4EC6">
        <w:rPr>
          <w:rFonts w:ascii="Times New Roman" w:eastAsia="Times New Roman" w:hAnsi="Times New Roman" w:cs="Times New Roman"/>
          <w:sz w:val="20"/>
          <w:szCs w:val="20"/>
        </w:rPr>
        <w:t xml:space="preserve">). Hasil penelitian menunjukkan a) </w:t>
      </w:r>
      <w:r w:rsidRPr="00EE4EC6">
        <w:rPr>
          <w:rFonts w:ascii="Times New Roman" w:hAnsi="Times New Roman" w:cs="Times New Roman"/>
          <w:sz w:val="20"/>
          <w:szCs w:val="20"/>
        </w:rPr>
        <w:t xml:space="preserve">Analisis IIT mayoritas negara mengalami penurunan saat pandemi Covid-19. Negara yang mengalami penurunan adalah Belanda, Republik Dominika, Singapura, dan Sri Lanka, sedangkan yang mengalami peningkatan adalah Belgia, Jerman, dan Amerika Serikat. </w:t>
      </w:r>
      <w:r w:rsidRPr="00EE4EC6">
        <w:rPr>
          <w:rFonts w:ascii="Times New Roman" w:eastAsia="Times New Roman" w:hAnsi="Times New Roman" w:cs="Times New Roman"/>
          <w:sz w:val="20"/>
          <w:szCs w:val="20"/>
        </w:rPr>
        <w:t xml:space="preserve">b) </w:t>
      </w:r>
      <w:r w:rsidRPr="00EE4EC6">
        <w:rPr>
          <w:rFonts w:ascii="Times New Roman" w:hAnsi="Times New Roman" w:cs="Times New Roman"/>
          <w:sz w:val="20"/>
          <w:szCs w:val="20"/>
        </w:rPr>
        <w:t xml:space="preserve">Analisis RCA di ketujuh negara tujuan utama menunjukkan posisi yang kuat. </w:t>
      </w:r>
      <w:r w:rsidRPr="00EE4EC6">
        <w:rPr>
          <w:rFonts w:ascii="Times New Roman" w:eastAsia="Times New Roman" w:hAnsi="Times New Roman" w:cs="Times New Roman"/>
          <w:sz w:val="20"/>
          <w:szCs w:val="20"/>
        </w:rPr>
        <w:t xml:space="preserve">c) </w:t>
      </w:r>
      <w:r w:rsidRPr="00EE4EC6">
        <w:rPr>
          <w:rFonts w:ascii="Times New Roman" w:hAnsi="Times New Roman" w:cs="Times New Roman"/>
          <w:sz w:val="20"/>
          <w:szCs w:val="20"/>
        </w:rPr>
        <w:t>Analisis EPD sebagian besar negara tujuan utama ekspor tembakau menunjukkan hasil yang positif, kecuali Amerika Serikat yang mengalami penurunan.</w:t>
      </w:r>
    </w:p>
    <w:p w:rsidR="00EE4EC6" w:rsidRPr="00EE4EC6" w:rsidRDefault="00EE4EC6" w:rsidP="00E215EF">
      <w:pPr>
        <w:spacing w:after="0" w:line="240" w:lineRule="auto"/>
        <w:jc w:val="both"/>
        <w:rPr>
          <w:rFonts w:ascii="Times New Roman" w:hAnsi="Times New Roman" w:cs="Times New Roman"/>
          <w:sz w:val="20"/>
          <w:szCs w:val="20"/>
        </w:rPr>
      </w:pPr>
    </w:p>
    <w:p w:rsidR="00B51F95" w:rsidRPr="00F82D0E" w:rsidRDefault="00E20F72" w:rsidP="00D301C2">
      <w:pPr>
        <w:spacing w:after="0" w:line="240" w:lineRule="auto"/>
        <w:jc w:val="both"/>
        <w:rPr>
          <w:rFonts w:ascii="Times New Roman" w:hAnsi="Times New Roman" w:cs="Times New Roman"/>
          <w:sz w:val="24"/>
          <w:szCs w:val="24"/>
        </w:rPr>
      </w:pPr>
      <w:r w:rsidRPr="00EE4EC6">
        <w:rPr>
          <w:rFonts w:ascii="Times New Roman" w:hAnsi="Times New Roman" w:cs="Times New Roman"/>
          <w:b/>
          <w:sz w:val="20"/>
          <w:szCs w:val="20"/>
        </w:rPr>
        <w:t>Kata Kunci:</w:t>
      </w:r>
      <w:r w:rsidRPr="00EE4EC6">
        <w:rPr>
          <w:rFonts w:ascii="Times New Roman" w:hAnsi="Times New Roman" w:cs="Times New Roman"/>
          <w:b/>
          <w:sz w:val="20"/>
          <w:szCs w:val="20"/>
          <w:lang w:val="id-ID"/>
        </w:rPr>
        <w:t xml:space="preserve"> </w:t>
      </w:r>
      <w:r w:rsidRPr="00EE4EC6">
        <w:rPr>
          <w:rFonts w:ascii="Times New Roman" w:hAnsi="Times New Roman" w:cs="Times New Roman"/>
          <w:sz w:val="20"/>
          <w:szCs w:val="20"/>
        </w:rPr>
        <w:t>cukai; daya saing; RCA</w:t>
      </w:r>
    </w:p>
    <w:p w:rsidR="00B51F95" w:rsidRDefault="00B51F95" w:rsidP="00D301C2">
      <w:pPr>
        <w:spacing w:after="0" w:line="240" w:lineRule="auto"/>
        <w:jc w:val="both"/>
        <w:rPr>
          <w:rFonts w:ascii="Times New Roman" w:eastAsia="Times New Roman" w:hAnsi="Times New Roman" w:cs="Times New Roman"/>
          <w:b/>
          <w:i/>
          <w:lang w:val="id-ID"/>
        </w:rPr>
      </w:pPr>
    </w:p>
    <w:p w:rsidR="00CB0C7B" w:rsidRDefault="00CB0C7B" w:rsidP="00EE4EC6">
      <w:pPr>
        <w:spacing w:after="0" w:line="240" w:lineRule="auto"/>
        <w:jc w:val="center"/>
        <w:rPr>
          <w:rFonts w:ascii="Times New Roman" w:eastAsia="Times New Roman" w:hAnsi="Times New Roman" w:cs="Times New Roman"/>
          <w:b/>
          <w:sz w:val="24"/>
          <w:szCs w:val="24"/>
          <w:lang w:val="id-ID"/>
        </w:rPr>
      </w:pPr>
      <w:r w:rsidRPr="00017E16">
        <w:rPr>
          <w:rFonts w:ascii="Times New Roman" w:eastAsia="Times New Roman" w:hAnsi="Times New Roman" w:cs="Times New Roman"/>
          <w:b/>
          <w:sz w:val="24"/>
          <w:szCs w:val="24"/>
          <w:lang w:val="id-ID"/>
        </w:rPr>
        <w:t>ABSTRACT</w:t>
      </w:r>
    </w:p>
    <w:p w:rsidR="00EE4EC6" w:rsidRPr="00017E16" w:rsidRDefault="00EE4EC6" w:rsidP="00EE4EC6">
      <w:pPr>
        <w:spacing w:after="0" w:line="240" w:lineRule="auto"/>
        <w:jc w:val="center"/>
        <w:rPr>
          <w:rFonts w:ascii="Times New Roman" w:eastAsia="Times New Roman" w:hAnsi="Times New Roman" w:cs="Times New Roman"/>
          <w:b/>
          <w:sz w:val="24"/>
          <w:szCs w:val="24"/>
          <w:lang w:val="id-ID"/>
        </w:rPr>
      </w:pPr>
    </w:p>
    <w:p w:rsidR="00BB217A" w:rsidRDefault="00073443" w:rsidP="00EE4EC6">
      <w:pPr>
        <w:spacing w:after="0" w:line="240" w:lineRule="auto"/>
        <w:jc w:val="both"/>
        <w:rPr>
          <w:rFonts w:ascii="Times New Roman" w:eastAsia="Times New Roman" w:hAnsi="Times New Roman" w:cs="Times New Roman"/>
          <w:i/>
          <w:sz w:val="20"/>
          <w:szCs w:val="20"/>
        </w:rPr>
      </w:pPr>
      <w:r w:rsidRPr="00EE4EC6">
        <w:rPr>
          <w:rFonts w:ascii="Times New Roman" w:eastAsia="Times New Roman" w:hAnsi="Times New Roman" w:cs="Times New Roman"/>
          <w:i/>
          <w:sz w:val="20"/>
          <w:szCs w:val="20"/>
        </w:rPr>
        <w:t>The contribution of excise from Tobacco Products Industry (IHT) in 2020 amounted to Rp 170.24 trillion or 96.56% of all Indonesian excise revenues. The Covid-19 caused tobacco exports in 2020 to decline by 6.41% or 2,134 tons. Based on these conditions, it is necessary to conduct research to analyze the competitiveness of tobacco exports during Covid-19 in the main destination countries. The location determination method used is purposive method, namely in Belgium, Singapore, Dominican Republic, Sri Lanka, Germany, the Netherlands, and the United States. The data used is time series data for 38 months starting from August 2018 to September 2021. The analytical methods used are IIT (Intra Industry Trade), RCA (Revealed Comparative Advantage), and EPD (Export Product Dynamic). The results showed a) IIT analysis in the majority of countries experienced a decline during Covid-19. Countries that experienced a decline were the Netherlands, Dominican Republic, Singapore, and Sri Lanka, while those that experienced an increase were Belgium, Germany, and the United States. b) RCA analysis in the seven main destination countries shows a strong position. c) EPD analysis of most of the main destination countries for tobacco exports showed positive results, except for the United States, which experienced a decline.</w:t>
      </w:r>
    </w:p>
    <w:p w:rsidR="00EE4EC6" w:rsidRPr="00EE4EC6" w:rsidRDefault="00EE4EC6" w:rsidP="00EE4EC6">
      <w:pPr>
        <w:spacing w:after="0" w:line="240" w:lineRule="auto"/>
        <w:jc w:val="both"/>
        <w:rPr>
          <w:rFonts w:ascii="Times New Roman" w:eastAsia="Times New Roman" w:hAnsi="Times New Roman" w:cs="Times New Roman"/>
          <w:i/>
          <w:sz w:val="20"/>
          <w:szCs w:val="20"/>
        </w:rPr>
      </w:pPr>
    </w:p>
    <w:p w:rsidR="00073443" w:rsidRPr="00EE4EC6" w:rsidRDefault="00073443" w:rsidP="00D301C2">
      <w:pPr>
        <w:spacing w:after="0" w:line="240" w:lineRule="auto"/>
        <w:jc w:val="both"/>
        <w:rPr>
          <w:rFonts w:ascii="Times New Roman" w:hAnsi="Times New Roman" w:cs="Times New Roman"/>
          <w:i/>
          <w:sz w:val="20"/>
          <w:szCs w:val="20"/>
        </w:rPr>
      </w:pPr>
      <w:r w:rsidRPr="00EE4EC6">
        <w:rPr>
          <w:rFonts w:ascii="Times New Roman" w:hAnsi="Times New Roman" w:cs="Times New Roman"/>
          <w:b/>
          <w:i/>
          <w:sz w:val="20"/>
          <w:szCs w:val="20"/>
        </w:rPr>
        <w:t>Keywords:</w:t>
      </w:r>
      <w:r w:rsidRPr="00EE4EC6">
        <w:rPr>
          <w:rFonts w:ascii="Times New Roman" w:hAnsi="Times New Roman" w:cs="Times New Roman"/>
          <w:b/>
          <w:i/>
          <w:sz w:val="20"/>
          <w:szCs w:val="20"/>
          <w:lang w:val="id-ID"/>
        </w:rPr>
        <w:t xml:space="preserve"> </w:t>
      </w:r>
      <w:r w:rsidRPr="00EE4EC6">
        <w:rPr>
          <w:rFonts w:ascii="Times New Roman" w:hAnsi="Times New Roman" w:cs="Times New Roman"/>
          <w:i/>
          <w:sz w:val="20"/>
          <w:szCs w:val="20"/>
        </w:rPr>
        <w:t>excise duty; competitiveness; RCA</w:t>
      </w:r>
    </w:p>
    <w:p w:rsidR="00073443" w:rsidRDefault="00073443" w:rsidP="00D301C2">
      <w:pPr>
        <w:spacing w:after="0" w:line="240" w:lineRule="auto"/>
        <w:jc w:val="both"/>
        <w:rPr>
          <w:rFonts w:ascii="Times New Roman" w:eastAsia="Times New Roman" w:hAnsi="Times New Roman" w:cs="Times New Roman"/>
        </w:rPr>
      </w:pPr>
    </w:p>
    <w:p w:rsidR="00E71EDE" w:rsidRDefault="00E71EDE" w:rsidP="00D301C2">
      <w:pPr>
        <w:spacing w:after="0" w:line="240" w:lineRule="auto"/>
        <w:jc w:val="both"/>
        <w:rPr>
          <w:rFonts w:ascii="Times New Roman" w:hAnsi="Times New Roman" w:cs="Times New Roman"/>
        </w:rPr>
      </w:pPr>
    </w:p>
    <w:p w:rsidR="00EE4EC6" w:rsidRPr="00073443" w:rsidRDefault="00EE4EC6" w:rsidP="00D301C2">
      <w:pPr>
        <w:spacing w:after="0" w:line="240" w:lineRule="auto"/>
        <w:jc w:val="both"/>
        <w:rPr>
          <w:rFonts w:ascii="Times New Roman" w:hAnsi="Times New Roman" w:cs="Times New Roman"/>
        </w:rPr>
      </w:pPr>
    </w:p>
    <w:p w:rsidR="00EE4EC6" w:rsidRDefault="00EE4EC6" w:rsidP="00D301C2">
      <w:pPr>
        <w:spacing w:after="0" w:line="240" w:lineRule="auto"/>
        <w:rPr>
          <w:rFonts w:ascii="Times New Roman" w:hAnsi="Times New Roman" w:cs="Times New Roman"/>
          <w:b/>
          <w:sz w:val="24"/>
          <w:szCs w:val="24"/>
          <w:lang w:val="id-ID"/>
        </w:rPr>
        <w:sectPr w:rsidR="00EE4EC6" w:rsidSect="00CB0C7B">
          <w:headerReference w:type="default" r:id="rId9"/>
          <w:pgSz w:w="11907" w:h="16839" w:code="9"/>
          <w:pgMar w:top="2268" w:right="1701" w:bottom="1701" w:left="2268" w:header="709" w:footer="709" w:gutter="0"/>
          <w:cols w:space="284"/>
          <w:docGrid w:linePitch="360"/>
        </w:sectPr>
      </w:pPr>
    </w:p>
    <w:p w:rsidR="00F82D0E" w:rsidRPr="00F82D0E" w:rsidRDefault="008B2DFD" w:rsidP="00D301C2">
      <w:pPr>
        <w:spacing w:after="0" w:line="240" w:lineRule="auto"/>
        <w:rPr>
          <w:rFonts w:ascii="Times New Roman" w:hAnsi="Times New Roman" w:cs="Times New Roman"/>
          <w:b/>
          <w:sz w:val="24"/>
          <w:szCs w:val="24"/>
          <w:lang w:val="id-ID"/>
        </w:rPr>
      </w:pPr>
      <w:r w:rsidRPr="00F82D0E">
        <w:rPr>
          <w:rFonts w:ascii="Times New Roman" w:hAnsi="Times New Roman" w:cs="Times New Roman"/>
          <w:b/>
          <w:sz w:val="24"/>
          <w:szCs w:val="24"/>
          <w:lang w:val="id-ID"/>
        </w:rPr>
        <w:lastRenderedPageBreak/>
        <w:t>PENDAHULUAN</w:t>
      </w:r>
    </w:p>
    <w:p w:rsidR="00A81E55" w:rsidRPr="00EE4EC6" w:rsidRDefault="00180983" w:rsidP="00D301C2">
      <w:pPr>
        <w:spacing w:after="0" w:line="240" w:lineRule="auto"/>
        <w:ind w:firstLine="567"/>
        <w:jc w:val="both"/>
        <w:rPr>
          <w:rFonts w:ascii="Times New Roman" w:eastAsia="Times New Roman" w:hAnsi="Times New Roman" w:cs="Times New Roman"/>
        </w:rPr>
      </w:pPr>
      <w:r w:rsidRPr="00EE4EC6">
        <w:rPr>
          <w:rFonts w:ascii="Times New Roman" w:eastAsia="Times New Roman" w:hAnsi="Times New Roman" w:cs="Times New Roman"/>
        </w:rPr>
        <w:t>Komoditas tembakau merupakan salah satu komoditas pertanian yang penting dan strategis di Indonesia. Komoditas tembakau merupakan tanaman yang menjadi bahan baku utama pembuatan rokok. Industri rokok merupakan industri yang menyumbang cukai terbesar di Indonesia. Pada tahun 2020 kontribusi cukai dari Industri Hasil Tembakau (IHT) sebesar Rp170,24 Triliun atau sebesar 96,56% dari seluruh penerimaan cukai Indonesia, hal ini kemudian menjadikan tembakau sebagai komoditas yang sangat potensial di Indonesia</w:t>
      </w:r>
      <w:r w:rsidR="008812BA" w:rsidRPr="00EE4EC6">
        <w:rPr>
          <w:rFonts w:ascii="Times New Roman" w:eastAsia="Times New Roman" w:hAnsi="Times New Roman" w:cs="Times New Roman"/>
          <w:lang w:val="id-ID"/>
        </w:rPr>
        <w:t xml:space="preserve"> </w:t>
      </w:r>
      <w:r w:rsidR="008812BA" w:rsidRPr="00EE4EC6">
        <w:rPr>
          <w:rFonts w:ascii="Times New Roman" w:eastAsia="Times New Roman" w:hAnsi="Times New Roman" w:cs="Times New Roman"/>
          <w:lang w:val="id-ID"/>
        </w:rPr>
        <w:fldChar w:fldCharType="begin" w:fldLock="1"/>
      </w:r>
      <w:r w:rsidR="002E4BCC" w:rsidRPr="00EE4EC6">
        <w:rPr>
          <w:rFonts w:ascii="Times New Roman" w:eastAsia="Times New Roman" w:hAnsi="Times New Roman" w:cs="Times New Roman"/>
          <w:lang w:val="id-ID"/>
        </w:rPr>
        <w:instrText>ADDIN CSL_CITATION {"citationItems":[{"id":"ITEM-1","itemData":{"author":[{"dropping-particle":"","family":"Kementerian Keuangan Republik Indonesia","given":"","non-dropping-particle":"","parse-names":false,"suffix":""}],"id":"ITEM-1","issued":{"date-parts":[["2021"]]},"number-of-pages":"76","title":"APBN Kita Kinerja dan Fakta","type":"book"},"uris":["http://www.mendeley.com/documents/?uuid=15a13fe1-961d-44e4-ad73-af0bf5699324"]}],"mendeley":{"formattedCitation":"(Kementerian Keuangan Republik Indonesia, 2021)","plainTextFormattedCitation":"(Kementerian Keuangan Republik Indonesia, 2021)","previouslyFormattedCitation":"(Kementerian Keuangan Republik Indonesia, 2021)"},"properties":{"noteIndex":0},"schema":"https://github.com/citation-style-language/schema/raw/master/csl-citation.json"}</w:instrText>
      </w:r>
      <w:r w:rsidR="008812BA" w:rsidRPr="00EE4EC6">
        <w:rPr>
          <w:rFonts w:ascii="Times New Roman" w:eastAsia="Times New Roman" w:hAnsi="Times New Roman" w:cs="Times New Roman"/>
          <w:lang w:val="id-ID"/>
        </w:rPr>
        <w:fldChar w:fldCharType="separate"/>
      </w:r>
      <w:r w:rsidR="008812BA" w:rsidRPr="00EE4EC6">
        <w:rPr>
          <w:rFonts w:ascii="Times New Roman" w:eastAsia="Times New Roman" w:hAnsi="Times New Roman" w:cs="Times New Roman"/>
          <w:noProof/>
          <w:lang w:val="id-ID"/>
        </w:rPr>
        <w:t>(Kementerian Keuangan Republik Indonesia, 2021)</w:t>
      </w:r>
      <w:r w:rsidR="008812BA" w:rsidRPr="00EE4EC6">
        <w:rPr>
          <w:rFonts w:ascii="Times New Roman" w:eastAsia="Times New Roman" w:hAnsi="Times New Roman" w:cs="Times New Roman"/>
          <w:lang w:val="id-ID"/>
        </w:rPr>
        <w:fldChar w:fldCharType="end"/>
      </w:r>
      <w:r w:rsidRPr="00EE4EC6">
        <w:rPr>
          <w:rFonts w:ascii="Times New Roman" w:eastAsia="Times New Roman" w:hAnsi="Times New Roman" w:cs="Times New Roman"/>
        </w:rPr>
        <w:t>. Indonesia memiliki beragam jenis tembakau yang dibudidayakan.</w:t>
      </w:r>
      <w:r w:rsidRPr="00EE4EC6">
        <w:rPr>
          <w:rFonts w:ascii="Times New Roman" w:eastAsia="Times New Roman" w:hAnsi="Times New Roman" w:cs="Times New Roman"/>
          <w:lang w:val="id-ID"/>
        </w:rPr>
        <w:t xml:space="preserve"> Potensi ini didukung dengan kondisi lingkungan yang juga cocok bagi perkembangan tembakau, sehingga apabila </w:t>
      </w:r>
      <w:r w:rsidR="0053274E" w:rsidRPr="00EE4EC6">
        <w:rPr>
          <w:rFonts w:ascii="Times New Roman" w:eastAsia="Times New Roman" w:hAnsi="Times New Roman" w:cs="Times New Roman"/>
          <w:lang w:val="id-ID"/>
        </w:rPr>
        <w:t xml:space="preserve">potensi ini dapat </w:t>
      </w:r>
      <w:r w:rsidRPr="00EE4EC6">
        <w:rPr>
          <w:rFonts w:ascii="Times New Roman" w:eastAsia="Times New Roman" w:hAnsi="Times New Roman" w:cs="Times New Roman"/>
          <w:lang w:val="id-ID"/>
        </w:rPr>
        <w:t>dimanfaatkan dan dikembangkan secara maksimal akan meningkatkan daya saing komoditas tembakau Indonesia di pasar dunia</w:t>
      </w:r>
      <w:r w:rsidR="002E4BCC" w:rsidRPr="00EE4EC6">
        <w:rPr>
          <w:rFonts w:ascii="Times New Roman" w:eastAsia="Times New Roman" w:hAnsi="Times New Roman" w:cs="Times New Roman"/>
          <w:lang w:val="id-ID"/>
        </w:rPr>
        <w:t xml:space="preserve"> </w:t>
      </w:r>
      <w:r w:rsidR="002E4BCC" w:rsidRPr="00EE4EC6">
        <w:rPr>
          <w:rFonts w:ascii="Times New Roman" w:eastAsia="Times New Roman" w:hAnsi="Times New Roman" w:cs="Times New Roman"/>
          <w:lang w:val="id-ID"/>
        </w:rPr>
        <w:fldChar w:fldCharType="begin" w:fldLock="1"/>
      </w:r>
      <w:r w:rsidR="00E66293" w:rsidRPr="00EE4EC6">
        <w:rPr>
          <w:rFonts w:ascii="Times New Roman" w:eastAsia="Times New Roman" w:hAnsi="Times New Roman" w:cs="Times New Roman"/>
          <w:lang w:val="id-ID"/>
        </w:rPr>
        <w:instrText>ADDIN CSL_CITATION {"citationItems":[{"id":"ITEM-1","itemData":{"abstract":"Beberapa jenis tembakau di Indonesia antara laintembakau musim kemarau/Voor-Oogst (VO), yaitu bahan untukmembuat rokok putih dan rokok kretek; dan tembakau musim penghujan/Na-Oogst (NO), yaitu jenis tembakau yang dipakai untuk bahan dasar membuatcerutu maupun cigarillo, disamping itu juga ada jenis tembakau hisap dankunyah.Berdasarkan bentu fisiknya diabagi atas tembakau rajangan dan tembakau krosok, menurut metode pengeringannya dibagi atas flue cured, air cured, sun cured, dan fire cured.Menurut tempat penghasilnyadibagi atas : Tembakau Deli, penghasil tembakau untuk rokok cerutu, Tembakau Temanggung, penghasil tembakau srintil untuk sigaret, Tembakau Vorstenlanden (Yogya-Klaten-Solo), penghasil tembakau untuk cerutu dan tembakau sigaret (tembakau Virginia), Tembakau Besuki, penghasil tembakau rajangan untuk rokok sigaret, Tembakau Madura, penghasil tembakau untuk sigaret, Tembakau Lombok Timur, penghasil tembakau untuk sigaret (tembakau Virginia). Beberapa jenis tembakau di Indonesia yang potensial misalnya ;Kemloko I, Sindoro,Kemloko 2, Kemloko 3, V. Bojonegoro 1, Bojonegoro 2, Blogon I, Kasturi I, Grompol Jatim, Kasturi 2, PVH 21, PVH 20, tembakau Bugis yang terdiri dari sekitar 10 varietas. Tembakau mutu tinggi pada umumnya kandungan nikotin dan senyawa aromatisnya tinggi terutama tembakau local, sebagai contoh tembakau Temanggung, semakin keatas posisi daun pda batang semakin tinggi kadar nikotinnya. Setiap jenis tembakau mempunyai kandungan kimia yang berbeda untuk menghasilkan karakter yang dikehendaki sehingga perlakuan budidayanya juga berbeda. Kandungan gula dan nikotin beberapa jenis tembakau, juga berbeda demikian juga ketahanan terhadap penyakit nematoda, lanas, dan bakteri. Kadar nikotin hanya dipengaruhi oleh lokasi,penanaman, sedangkan genotipe dan interaksiantara genotipe dengan lingkungan tidak mempengaruhi kandungan nikotin. Beberapa peneliti sedang melakukan penelitian untuk mendapatkan tembakau tanpa nikotin. Demikian juga dilakukan penelitian untuk mendapatkan protein anti kanker dari daun tembakau.Kata Kunci : gula,nikotin, tembakau, varietas","author":[{"dropping-particle":"","family":"Amelia","given":"A.L","non-dropping-particle":"","parse-names":false,"suffix":""}],"container-title":"AgroSainT UKI Toraja","id":"ITEM-1","issue":"1","issued":{"date-parts":[["2012"]]},"page":"243-251","title":"Hasil Kajian Beberapa Jenis Tembakau di Indonesia","type":"article-journal","volume":"3"},"uris":["http://www.mendeley.com/documents/?uuid=0dcbb8f6-f613-4726-ac5e-6a023e65744c"]}],"mendeley":{"formattedCitation":"(Amelia, 2012)","plainTextFormattedCitation":"(Amelia, 2012)","previouslyFormattedCitation":"(Amelia, 2012)"},"properties":{"noteIndex":0},"schema":"https://github.com/citation-style-language/schema/raw/master/csl-citation.json"}</w:instrText>
      </w:r>
      <w:r w:rsidR="002E4BCC" w:rsidRPr="00EE4EC6">
        <w:rPr>
          <w:rFonts w:ascii="Times New Roman" w:eastAsia="Times New Roman" w:hAnsi="Times New Roman" w:cs="Times New Roman"/>
          <w:lang w:val="id-ID"/>
        </w:rPr>
        <w:fldChar w:fldCharType="separate"/>
      </w:r>
      <w:r w:rsidR="002E4BCC" w:rsidRPr="00EE4EC6">
        <w:rPr>
          <w:rFonts w:ascii="Times New Roman" w:eastAsia="Times New Roman" w:hAnsi="Times New Roman" w:cs="Times New Roman"/>
          <w:noProof/>
          <w:lang w:val="id-ID"/>
        </w:rPr>
        <w:t>(Amelia, 2012)</w:t>
      </w:r>
      <w:r w:rsidR="002E4BCC" w:rsidRPr="00EE4EC6">
        <w:rPr>
          <w:rFonts w:ascii="Times New Roman" w:eastAsia="Times New Roman" w:hAnsi="Times New Roman" w:cs="Times New Roman"/>
          <w:lang w:val="id-ID"/>
        </w:rPr>
        <w:fldChar w:fldCharType="end"/>
      </w:r>
      <w:r w:rsidRPr="00EE4EC6">
        <w:rPr>
          <w:rFonts w:ascii="Times New Roman" w:eastAsia="Times New Roman" w:hAnsi="Times New Roman" w:cs="Times New Roman"/>
        </w:rPr>
        <w:t>.</w:t>
      </w:r>
    </w:p>
    <w:p w:rsidR="002475D0" w:rsidRPr="00EE4EC6" w:rsidRDefault="002475D0" w:rsidP="00D301C2">
      <w:pPr>
        <w:spacing w:after="0" w:line="240" w:lineRule="auto"/>
        <w:ind w:firstLine="567"/>
        <w:jc w:val="both"/>
        <w:rPr>
          <w:rFonts w:ascii="Times New Roman" w:eastAsia="Times New Roman" w:hAnsi="Times New Roman" w:cs="Times New Roman"/>
          <w:lang w:val="id-ID"/>
        </w:rPr>
      </w:pPr>
      <w:r w:rsidRPr="00EE4EC6">
        <w:rPr>
          <w:rFonts w:ascii="Times New Roman" w:eastAsia="Times New Roman" w:hAnsi="Times New Roman" w:cs="Times New Roman"/>
        </w:rPr>
        <w:t>Kontribusi komoditas tembakau terhadap perekonomian yang tinggi tidak lepas</w:t>
      </w:r>
      <w:r w:rsidRPr="00EE4EC6">
        <w:rPr>
          <w:rFonts w:ascii="Times New Roman" w:eastAsia="Times New Roman" w:hAnsi="Times New Roman" w:cs="Times New Roman"/>
          <w:i/>
        </w:rPr>
        <w:t xml:space="preserve"> </w:t>
      </w:r>
      <w:r w:rsidRPr="00EE4EC6">
        <w:rPr>
          <w:rFonts w:ascii="Times New Roman" w:eastAsia="Times New Roman" w:hAnsi="Times New Roman" w:cs="Times New Roman"/>
        </w:rPr>
        <w:t>dari adanya tantangan. Tantangan terbesar dari pengembangan komoditas tembakau dari sisi ekonomi ialah aspek kesehatan. Berbagai penyakit kronis yang ditimbulkan dari mengonsumsi rokok menjadi isu yang kerap kali diperbincangkan beberapa tahun terakhir, bahkan pemerintah Indonesia mengeluarkan kebijakan peningkatan bea pita cukai guna mengurangi konsumsi masyarakat terhadap rokok</w:t>
      </w:r>
      <w:r w:rsidR="00E66293" w:rsidRPr="00EE4EC6">
        <w:rPr>
          <w:rFonts w:ascii="Times New Roman" w:eastAsia="Times New Roman" w:hAnsi="Times New Roman" w:cs="Times New Roman"/>
          <w:lang w:val="id-ID"/>
        </w:rPr>
        <w:t xml:space="preserve"> </w:t>
      </w:r>
      <w:r w:rsidR="00E66293" w:rsidRPr="00EE4EC6">
        <w:rPr>
          <w:rFonts w:ascii="Times New Roman" w:eastAsia="Times New Roman" w:hAnsi="Times New Roman" w:cs="Times New Roman"/>
          <w:lang w:val="id-ID"/>
        </w:rPr>
        <w:fldChar w:fldCharType="begin" w:fldLock="1"/>
      </w:r>
      <w:r w:rsidR="00E66293" w:rsidRPr="00EE4EC6">
        <w:rPr>
          <w:rFonts w:ascii="Times New Roman" w:eastAsia="Times New Roman" w:hAnsi="Times New Roman" w:cs="Times New Roman"/>
          <w:lang w:val="id-ID"/>
        </w:rPr>
        <w:instrText>ADDIN CSL_CITATION {"citationItems":[{"id":"ITEM-1","itemData":{"author":[{"dropping-particle":"","family":"World Health Organization","given":"","non-dropping-particle":"","parse-names":false,"suffix":""}],"id":"ITEM-1","issued":{"date-parts":[["2020"]]},"number-of-pages":"6-8","title":"Raising Tobacco Taxes and Prices for a Healty and Prosperous Indonesia","type":"book"},"uris":["http://www.mendeley.com/documents/?uuid=efba67c8-92ff-4a62-9685-f8346d8a16eb"]}],"mendeley":{"formattedCitation":"(World Health Organization, 2020)","plainTextFormattedCitation":"(World Health Organization, 2020)","previouslyFormattedCitation":"(World Health Organization, 2020)"},"properties":{"noteIndex":0},"schema":"https://github.com/citation-style-language/schema/raw/master/csl-citation.json"}</w:instrText>
      </w:r>
      <w:r w:rsidR="00E66293" w:rsidRPr="00EE4EC6">
        <w:rPr>
          <w:rFonts w:ascii="Times New Roman" w:eastAsia="Times New Roman" w:hAnsi="Times New Roman" w:cs="Times New Roman"/>
          <w:lang w:val="id-ID"/>
        </w:rPr>
        <w:fldChar w:fldCharType="separate"/>
      </w:r>
      <w:r w:rsidR="00E66293" w:rsidRPr="00EE4EC6">
        <w:rPr>
          <w:rFonts w:ascii="Times New Roman" w:eastAsia="Times New Roman" w:hAnsi="Times New Roman" w:cs="Times New Roman"/>
          <w:noProof/>
          <w:lang w:val="id-ID"/>
        </w:rPr>
        <w:t>(World Health Organization, 2020)</w:t>
      </w:r>
      <w:r w:rsidR="00E66293" w:rsidRPr="00EE4EC6">
        <w:rPr>
          <w:rFonts w:ascii="Times New Roman" w:eastAsia="Times New Roman" w:hAnsi="Times New Roman" w:cs="Times New Roman"/>
          <w:lang w:val="id-ID"/>
        </w:rPr>
        <w:fldChar w:fldCharType="end"/>
      </w:r>
      <w:r w:rsidRPr="00EE4EC6">
        <w:rPr>
          <w:rFonts w:ascii="Times New Roman" w:eastAsia="Times New Roman" w:hAnsi="Times New Roman" w:cs="Times New Roman"/>
        </w:rPr>
        <w:t xml:space="preserve">. Tantangan ini tidak hanya dalam lingkup nasional, secara global isu kesehatan juga menjadi tantangan bagi komoditas tembakau di Indonesia. </w:t>
      </w:r>
      <w:r w:rsidRPr="00EE4EC6">
        <w:rPr>
          <w:rFonts w:ascii="Times New Roman" w:eastAsia="Times New Roman" w:hAnsi="Times New Roman" w:cs="Times New Roman"/>
          <w:i/>
        </w:rPr>
        <w:t xml:space="preserve">Awareness </w:t>
      </w:r>
      <w:r w:rsidRPr="00EE4EC6">
        <w:rPr>
          <w:rFonts w:ascii="Times New Roman" w:eastAsia="Times New Roman" w:hAnsi="Times New Roman" w:cs="Times New Roman"/>
        </w:rPr>
        <w:t xml:space="preserve">masyarakat negara maju, yang </w:t>
      </w:r>
      <w:r w:rsidRPr="00EE4EC6">
        <w:rPr>
          <w:rFonts w:ascii="Times New Roman" w:eastAsia="Times New Roman" w:hAnsi="Times New Roman" w:cs="Times New Roman"/>
          <w:i/>
        </w:rPr>
        <w:t>notabene</w:t>
      </w:r>
      <w:r w:rsidRPr="00EE4EC6">
        <w:rPr>
          <w:rFonts w:ascii="Times New Roman" w:eastAsia="Times New Roman" w:hAnsi="Times New Roman" w:cs="Times New Roman"/>
        </w:rPr>
        <w:t xml:space="preserve"> adalah negara tujuan ekspor tembakau Indonesia, terhadap isu kesehatan serta diterapkannya kebijakan pembatasan tembakau mengakibatkan adanya pergeseran produksi di Indonesia</w:t>
      </w:r>
      <w:r w:rsidR="00E66293" w:rsidRPr="00EE4EC6">
        <w:rPr>
          <w:rFonts w:ascii="Times New Roman" w:eastAsia="Times New Roman" w:hAnsi="Times New Roman" w:cs="Times New Roman"/>
          <w:lang w:val="id-ID"/>
        </w:rPr>
        <w:t xml:space="preserve"> </w:t>
      </w:r>
      <w:r w:rsidR="00E66293" w:rsidRPr="00EE4EC6">
        <w:rPr>
          <w:rFonts w:ascii="Times New Roman" w:eastAsia="Times New Roman" w:hAnsi="Times New Roman" w:cs="Times New Roman"/>
          <w:lang w:val="id-ID"/>
        </w:rPr>
        <w:fldChar w:fldCharType="begin" w:fldLock="1"/>
      </w:r>
      <w:r w:rsidR="00E96261" w:rsidRPr="00EE4EC6">
        <w:rPr>
          <w:rFonts w:ascii="Times New Roman" w:eastAsia="Times New Roman" w:hAnsi="Times New Roman" w:cs="Times New Roman"/>
          <w:lang w:val="id-ID"/>
        </w:rPr>
        <w:instrText>ADDIN CSL_CITATION {"citationItems":[{"id":"ITEM-1","itemData":{"abstract":"Conscious ovariectomized (OVX) rats bearing a cannula implanted in the 3rd ventricle were injected with 2 μl of 0.9% NaCl containing varying doses of synthetic gastrin and plasma gonadotropin, GH and TSH levels were measured by RIA in jugular blood samples drawn through an indwelling silastic catheter. Control injections of saline iv or into the 3rd ventricle did not modify plasma hormone levels. Intraventricular injection of 1 or 5 μg gastrin produced significant suppression of plasma LH and prolactin (Prl) levels within 5 min of injection. Injection of 1 μg gastrin had no effect on plasma GH, but increasing the dose to 5 μg induced a progressive elevation, which reached peak levels at 60 min. By contrast, TSH levels were lowered by both doses of gastrin within 5 min of injection and the lowering persisted for 60 min. Intravenous injection of gastrin had no effect on plasma gonadotropin, GH and TSH, but induced an elevation in Prl levels. In vitro incubation of hemipituitaries with gastrin failed to modify gonadotropin, GH or Prl but slightly inhibited TSH release at the highest dose of 5 μg gastrin. The results indicate that synthetic gastrin can alter pituitary hormone release in unrestrained OVX rats and implicate a hypothalamic site of action for the peptide to alter release of a gonadotropin, Prl and GH. Its effect on TSH release may be mediated both via hypothalamic neurons and by a direct action on pituitary thyrotrophs. © 1978.","author":[{"dropping-particle":"","family":"Rachmat","given":"Muchjidin","non-dropping-particle":"","parse-names":false,"suffix":""},{"dropping-particle":"","family":"Nuryanti","given":"Sri","non-dropping-particle":"","parse-names":false,"suffix":""}],"container-title":"Forum Pnelitian Agro Ekonomi","id":"ITEM-1","issue":"2","issued":{"date-parts":[["2009"]]},"page":"73-91","title":"Dinamika Agribisnis Tembakau Dunia dan Implikasinya bagi Indonesia","type":"article-journal","volume":"27"},"uris":["http://www.mendeley.com/documents/?uuid=85a3a431-f7ed-4a2e-8c55-575b436d5dbc"]}],"mendeley":{"formattedCitation":"(Rachmat &amp; Nuryanti, 2009)","manualFormatting":"(Rachmat dan Nuryanti, 2009)","plainTextFormattedCitation":"(Rachmat &amp; Nuryanti, 2009)","previouslyFormattedCitation":"(Rachmat &amp; Nuryanti, 2009)"},"properties":{"noteIndex":0},"schema":"https://github.com/citation-style-language/schema/raw/master/csl-citation.json"}</w:instrText>
      </w:r>
      <w:r w:rsidR="00E66293" w:rsidRPr="00EE4EC6">
        <w:rPr>
          <w:rFonts w:ascii="Times New Roman" w:eastAsia="Times New Roman" w:hAnsi="Times New Roman" w:cs="Times New Roman"/>
          <w:lang w:val="id-ID"/>
        </w:rPr>
        <w:fldChar w:fldCharType="separate"/>
      </w:r>
      <w:r w:rsidR="00A05D5C" w:rsidRPr="00EE4EC6">
        <w:rPr>
          <w:rFonts w:ascii="Times New Roman" w:eastAsia="Times New Roman" w:hAnsi="Times New Roman" w:cs="Times New Roman"/>
          <w:noProof/>
          <w:lang w:val="id-ID"/>
        </w:rPr>
        <w:t>(Rachmat dan</w:t>
      </w:r>
      <w:r w:rsidR="00E66293" w:rsidRPr="00EE4EC6">
        <w:rPr>
          <w:rFonts w:ascii="Times New Roman" w:eastAsia="Times New Roman" w:hAnsi="Times New Roman" w:cs="Times New Roman"/>
          <w:noProof/>
          <w:lang w:val="id-ID"/>
        </w:rPr>
        <w:t xml:space="preserve"> Nuryanti, 2009)</w:t>
      </w:r>
      <w:r w:rsidR="00E66293" w:rsidRPr="00EE4EC6">
        <w:rPr>
          <w:rFonts w:ascii="Times New Roman" w:eastAsia="Times New Roman" w:hAnsi="Times New Roman" w:cs="Times New Roman"/>
          <w:lang w:val="id-ID"/>
        </w:rPr>
        <w:fldChar w:fldCharType="end"/>
      </w:r>
      <w:r w:rsidRPr="00EE4EC6">
        <w:rPr>
          <w:rFonts w:ascii="Times New Roman" w:eastAsia="Times New Roman" w:hAnsi="Times New Roman" w:cs="Times New Roman"/>
          <w:lang w:val="id-ID"/>
        </w:rPr>
        <w:t>.</w:t>
      </w:r>
    </w:p>
    <w:p w:rsidR="00666058" w:rsidRPr="00EE4EC6" w:rsidRDefault="00666058" w:rsidP="00D301C2">
      <w:pPr>
        <w:spacing w:after="0" w:line="240" w:lineRule="auto"/>
        <w:ind w:firstLine="567"/>
        <w:jc w:val="both"/>
        <w:rPr>
          <w:rFonts w:ascii="Times New Roman" w:eastAsia="Times New Roman" w:hAnsi="Times New Roman" w:cs="Times New Roman"/>
        </w:rPr>
      </w:pPr>
      <w:r w:rsidRPr="00EE4EC6">
        <w:rPr>
          <w:rFonts w:ascii="Times New Roman" w:eastAsia="Times New Roman" w:hAnsi="Times New Roman" w:cs="Times New Roman"/>
        </w:rPr>
        <w:t>Menurut</w:t>
      </w:r>
      <w:r w:rsidR="00E96261" w:rsidRPr="00EE4EC6">
        <w:rPr>
          <w:rFonts w:ascii="Times New Roman" w:eastAsia="Times New Roman" w:hAnsi="Times New Roman" w:cs="Times New Roman"/>
          <w:lang w:val="id-ID"/>
        </w:rPr>
        <w:t xml:space="preserve"> </w:t>
      </w:r>
      <w:r w:rsidR="00E96261" w:rsidRPr="00EE4EC6">
        <w:rPr>
          <w:rFonts w:ascii="Times New Roman" w:eastAsia="Times New Roman" w:hAnsi="Times New Roman" w:cs="Times New Roman"/>
          <w:lang w:val="id-ID"/>
        </w:rPr>
        <w:fldChar w:fldCharType="begin" w:fldLock="1"/>
      </w:r>
      <w:r w:rsidR="00E96261" w:rsidRPr="00EE4EC6">
        <w:rPr>
          <w:rFonts w:ascii="Times New Roman" w:eastAsia="Times New Roman" w:hAnsi="Times New Roman" w:cs="Times New Roman"/>
          <w:lang w:val="id-ID"/>
        </w:rPr>
        <w:instrText>ADDIN CSL_CITATION {"citationItems":[{"id":"ITEM-1","itemData":{"author":[{"dropping-particle":"","family":"Direktorat Jenderal Perkebunan Republik Indonesia","given":"","non-dropping-particle":"","parse-names":false,"suffix":""}],"id":"ITEM-1","issued":{"date-parts":[["2021"]]},"number-of-pages":"1-1046","title":"Statistik Perkebunan Unggulan Nasional 2019 - 2021","type":"book"},"uris":["http://www.mendeley.com/documents/?uuid=bce9b454-0900-49b0-8d72-0e27ce9695ee"]}],"mendeley":{"formattedCitation":"(Direktorat Jenderal Perkebunan Republik Indonesia, 2021)","manualFormatting":"Direktorat Jenderal Perkebunan (2021)","plainTextFormattedCitation":"(Direktorat Jenderal Perkebunan Republik Indonesia, 2021)","previouslyFormattedCitation":"(Direktorat Jenderal Perkebunan Republik Indonesia, 2021)"},"properties":{"noteIndex":0},"schema":"https://github.com/citation-style-language/schema/raw/master/csl-citation.json"}</w:instrText>
      </w:r>
      <w:r w:rsidR="00E96261" w:rsidRPr="00EE4EC6">
        <w:rPr>
          <w:rFonts w:ascii="Times New Roman" w:eastAsia="Times New Roman" w:hAnsi="Times New Roman" w:cs="Times New Roman"/>
          <w:lang w:val="id-ID"/>
        </w:rPr>
        <w:fldChar w:fldCharType="separate"/>
      </w:r>
      <w:r w:rsidR="00E96261" w:rsidRPr="00EE4EC6">
        <w:rPr>
          <w:rFonts w:ascii="Times New Roman" w:eastAsia="Times New Roman" w:hAnsi="Times New Roman" w:cs="Times New Roman"/>
          <w:noProof/>
          <w:lang w:val="id-ID"/>
        </w:rPr>
        <w:t>Direktorat Jenderal Perkebunan (2021)</w:t>
      </w:r>
      <w:r w:rsidR="00E96261" w:rsidRPr="00EE4EC6">
        <w:rPr>
          <w:rFonts w:ascii="Times New Roman" w:eastAsia="Times New Roman" w:hAnsi="Times New Roman" w:cs="Times New Roman"/>
          <w:lang w:val="id-ID"/>
        </w:rPr>
        <w:fldChar w:fldCharType="end"/>
      </w:r>
      <w:r w:rsidR="00E96261" w:rsidRPr="00EE4EC6">
        <w:rPr>
          <w:rFonts w:ascii="Times New Roman" w:eastAsia="Times New Roman" w:hAnsi="Times New Roman" w:cs="Times New Roman"/>
          <w:lang w:val="id-ID"/>
        </w:rPr>
        <w:t>,</w:t>
      </w:r>
      <w:r w:rsidRPr="00EE4EC6">
        <w:rPr>
          <w:rFonts w:ascii="Times New Roman" w:eastAsia="Times New Roman" w:hAnsi="Times New Roman" w:cs="Times New Roman"/>
        </w:rPr>
        <w:t xml:space="preserve"> Indonesia merupakan salah satu negara yang menjadi eksportir komoditas tembakau di dunia.</w:t>
      </w:r>
      <w:r w:rsidRPr="00EE4EC6">
        <w:rPr>
          <w:rFonts w:ascii="Times New Roman" w:eastAsia="Times New Roman" w:hAnsi="Times New Roman" w:cs="Times New Roman"/>
          <w:lang w:val="id-ID"/>
        </w:rPr>
        <w:t xml:space="preserve"> </w:t>
      </w:r>
      <w:r w:rsidRPr="00EE4EC6">
        <w:rPr>
          <w:rFonts w:ascii="Times New Roman" w:eastAsia="Times New Roman" w:hAnsi="Times New Roman" w:cs="Times New Roman"/>
        </w:rPr>
        <w:t>Secara rinci pada tahun 2019 terdapat tujuh negara tujuan utama ekspor komoditas tembakau Indonesia, yakni Belgia sebesar 6.739,69 ton atau 20,26%, Singapura sebesar 5.458,95 ton atau 16,41%, Republik Dominika sebesar 3.822,26 ton atau 11,94%, Sri Lanka sebesar 3.892,12 atau 11,70 %, ekspor ke negara Jerman sebesar 3.602,71 ton atau 10,83%, Belanda sebesar 2.192,21 ton atau 6,59%, serta ekspor ke negara Amerika Serikat sebesar 1.696,57 ton atau 5,10%. Jenis tembakau yang diekspor kepada negara-negara tersebut memiliki variasi yang beragam mulai dari tembakau virginia hingga tembakau tidak bertulang/bertangkai.</w:t>
      </w:r>
    </w:p>
    <w:p w:rsidR="00E96261" w:rsidRPr="00EE4EC6" w:rsidRDefault="00CC5AB3" w:rsidP="00D301C2">
      <w:pPr>
        <w:spacing w:after="0" w:line="240" w:lineRule="auto"/>
        <w:ind w:firstLine="567"/>
        <w:jc w:val="both"/>
        <w:rPr>
          <w:rFonts w:ascii="Times New Roman" w:eastAsia="Times New Roman" w:hAnsi="Times New Roman" w:cs="Times New Roman"/>
        </w:rPr>
      </w:pPr>
      <w:r w:rsidRPr="00EE4EC6">
        <w:rPr>
          <w:rFonts w:ascii="Times New Roman" w:eastAsia="Times New Roman" w:hAnsi="Times New Roman" w:cs="Times New Roman"/>
        </w:rPr>
        <w:t>Pada akhir tahun 2019 dan awal tahun 2020, muncul pandemi Covid-19 yang melanda di lebih dari 200 negara di dunia, termasuk Indonesia. Pandemi ini telah melumpuhkan hampir seluruh sektor, mulai dari sektor kesehatan hingga</w:t>
      </w:r>
      <w:r w:rsidR="009604EA">
        <w:rPr>
          <w:rFonts w:ascii="Times New Roman" w:eastAsia="Times New Roman" w:hAnsi="Times New Roman" w:cs="Times New Roman"/>
          <w:lang w:val="id-ID"/>
        </w:rPr>
        <w:t xml:space="preserve"> sektor</w:t>
      </w:r>
      <w:r w:rsidRPr="00EE4EC6">
        <w:rPr>
          <w:rFonts w:ascii="Times New Roman" w:eastAsia="Times New Roman" w:hAnsi="Times New Roman" w:cs="Times New Roman"/>
        </w:rPr>
        <w:t xml:space="preserve"> pere</w:t>
      </w:r>
      <w:r w:rsidR="005D3CF2" w:rsidRPr="00EE4EC6">
        <w:rPr>
          <w:rFonts w:ascii="Times New Roman" w:eastAsia="Times New Roman" w:hAnsi="Times New Roman" w:cs="Times New Roman"/>
        </w:rPr>
        <w:t xml:space="preserve">konomian. Pada masa </w:t>
      </w:r>
      <w:r w:rsidR="009604EA">
        <w:rPr>
          <w:rFonts w:ascii="Times New Roman" w:eastAsia="Times New Roman" w:hAnsi="Times New Roman" w:cs="Times New Roman"/>
        </w:rPr>
        <w:t>pandemi</w:t>
      </w:r>
      <w:r w:rsidR="009604EA">
        <w:rPr>
          <w:rFonts w:ascii="Times New Roman" w:eastAsia="Times New Roman" w:hAnsi="Times New Roman" w:cs="Times New Roman"/>
          <w:lang w:val="id-ID"/>
        </w:rPr>
        <w:t xml:space="preserve"> Covid-19</w:t>
      </w:r>
      <w:r w:rsidR="005D3CF2" w:rsidRPr="00EE4EC6">
        <w:rPr>
          <w:rFonts w:ascii="Times New Roman" w:eastAsia="Times New Roman" w:hAnsi="Times New Roman" w:cs="Times New Roman"/>
        </w:rPr>
        <w:t xml:space="preserve"> </w:t>
      </w:r>
      <w:r w:rsidRPr="00EE4EC6">
        <w:rPr>
          <w:rFonts w:ascii="Times New Roman" w:eastAsia="Times New Roman" w:hAnsi="Times New Roman" w:cs="Times New Roman"/>
        </w:rPr>
        <w:t>banyak negara yang mengalami krisis perekonomian yang cukup parah serta kegiatan industri dan ekonomi menjadi terhambat. Pembatasan gerak, baik lokal maupun internasional berdampak sangat besar, khususnya bagi kegiatan ekspor</w:t>
      </w:r>
      <w:r w:rsidR="00E96261" w:rsidRPr="00EE4EC6">
        <w:rPr>
          <w:rFonts w:ascii="Times New Roman" w:eastAsia="Times New Roman" w:hAnsi="Times New Roman" w:cs="Times New Roman"/>
          <w:lang w:val="id-ID"/>
        </w:rPr>
        <w:t xml:space="preserve"> </w:t>
      </w:r>
      <w:r w:rsidR="00E96261" w:rsidRPr="00EE4EC6">
        <w:rPr>
          <w:rFonts w:ascii="Times New Roman" w:eastAsia="Times New Roman" w:hAnsi="Times New Roman" w:cs="Times New Roman"/>
          <w:lang w:val="id-ID"/>
        </w:rPr>
        <w:fldChar w:fldCharType="begin" w:fldLock="1"/>
      </w:r>
      <w:r w:rsidR="00E96261" w:rsidRPr="00EE4EC6">
        <w:rPr>
          <w:rFonts w:ascii="Times New Roman" w:eastAsia="Times New Roman" w:hAnsi="Times New Roman" w:cs="Times New Roman"/>
          <w:lang w:val="id-ID"/>
        </w:rPr>
        <w:instrText>ADDIN CSL_CITATION {"citationItems":[{"id":"ITEM-1","itemData":{"author":[{"dropping-particle":"","family":"Yofa","given":"Rangga D","non-dropping-particle":"","parse-names":false,"suffix":""},{"dropping-particle":"","family":"Erwidodo","given":"","non-dropping-particle":"","parse-names":false,"suffix":""},{"dropping-particle":"","family":"Suryani","given":"Erma","non-dropping-particle":"","parse-names":false,"suffix":""}],"id":"ITEM-1","issued":{"date-parts":[["2020"]]},"number-of-pages":"1-22","title":"Dampak Pandemi COVID-19 Terhadap Ekspor dan Impor Komoditas Pertanian","type":"book"},"uris":["http://www.mendeley.com/documents/?uuid=04964f17-6e85-487f-b5e7-df35d4334f60"]}],"mendeley":{"formattedCitation":"(Yofa, Erwidodo, &amp; Suryani, 2020)","manualFormatting":"(Yofa et al., 2020)","plainTextFormattedCitation":"(Yofa, Erwidodo, &amp; Suryani, 2020)","previouslyFormattedCitation":"(Yofa, Erwidodo, &amp; Suryani, 2020)"},"properties":{"noteIndex":0},"schema":"https://github.com/citation-style-language/schema/raw/master/csl-citation.json"}</w:instrText>
      </w:r>
      <w:r w:rsidR="00E96261" w:rsidRPr="00EE4EC6">
        <w:rPr>
          <w:rFonts w:ascii="Times New Roman" w:eastAsia="Times New Roman" w:hAnsi="Times New Roman" w:cs="Times New Roman"/>
          <w:lang w:val="id-ID"/>
        </w:rPr>
        <w:fldChar w:fldCharType="separate"/>
      </w:r>
      <w:r w:rsidR="00E96261" w:rsidRPr="00EE4EC6">
        <w:rPr>
          <w:rFonts w:ascii="Times New Roman" w:eastAsia="Times New Roman" w:hAnsi="Times New Roman" w:cs="Times New Roman"/>
          <w:noProof/>
          <w:lang w:val="id-ID"/>
        </w:rPr>
        <w:t xml:space="preserve">(Yofa </w:t>
      </w:r>
      <w:r w:rsidR="00E96261" w:rsidRPr="00EE4EC6">
        <w:rPr>
          <w:rFonts w:ascii="Times New Roman" w:eastAsia="Times New Roman" w:hAnsi="Times New Roman" w:cs="Times New Roman"/>
          <w:i/>
          <w:noProof/>
          <w:lang w:val="id-ID"/>
        </w:rPr>
        <w:t>et al.</w:t>
      </w:r>
      <w:r w:rsidR="00E96261" w:rsidRPr="00EE4EC6">
        <w:rPr>
          <w:rFonts w:ascii="Times New Roman" w:eastAsia="Times New Roman" w:hAnsi="Times New Roman" w:cs="Times New Roman"/>
          <w:noProof/>
          <w:lang w:val="id-ID"/>
        </w:rPr>
        <w:t>, 2020)</w:t>
      </w:r>
      <w:r w:rsidR="00E96261" w:rsidRPr="00EE4EC6">
        <w:rPr>
          <w:rFonts w:ascii="Times New Roman" w:eastAsia="Times New Roman" w:hAnsi="Times New Roman" w:cs="Times New Roman"/>
          <w:lang w:val="id-ID"/>
        </w:rPr>
        <w:fldChar w:fldCharType="end"/>
      </w:r>
      <w:r w:rsidR="00E96261" w:rsidRPr="00EE4EC6">
        <w:rPr>
          <w:rFonts w:ascii="Times New Roman" w:eastAsia="Times New Roman" w:hAnsi="Times New Roman" w:cs="Times New Roman"/>
          <w:lang w:val="id-ID"/>
        </w:rPr>
        <w:t>.</w:t>
      </w:r>
      <w:r w:rsidR="00E96261" w:rsidRPr="00EE4EC6">
        <w:rPr>
          <w:rFonts w:ascii="Times New Roman" w:eastAsia="Times New Roman" w:hAnsi="Times New Roman" w:cs="Times New Roman"/>
        </w:rPr>
        <w:t xml:space="preserve"> </w:t>
      </w:r>
      <w:r w:rsidRPr="00EE4EC6">
        <w:rPr>
          <w:rFonts w:ascii="Times New Roman" w:eastAsia="Times New Roman" w:hAnsi="Times New Roman" w:cs="Times New Roman"/>
        </w:rPr>
        <w:t xml:space="preserve">Ekspor tembakau pada tahun 2020 mengalami penurunan </w:t>
      </w:r>
      <w:r w:rsidR="00114880" w:rsidRPr="00EE4EC6">
        <w:rPr>
          <w:rFonts w:ascii="Times New Roman" w:eastAsia="Times New Roman" w:hAnsi="Times New Roman" w:cs="Times New Roman"/>
          <w:lang w:val="id-ID"/>
        </w:rPr>
        <w:t>dari</w:t>
      </w:r>
      <w:r w:rsidRPr="00EE4EC6">
        <w:rPr>
          <w:rFonts w:ascii="Times New Roman" w:eastAsia="Times New Roman" w:hAnsi="Times New Roman" w:cs="Times New Roman"/>
        </w:rPr>
        <w:t xml:space="preserve"> tahun sebelumnya. Ekspor komoditas tembakau di Indonesia menurun sebesar 6,41% atau sebesar 2.134 ton. Penurunan ini juga mempengaruhi nilai ekspor komoditas tembakau yang diterima Indonesia, </w:t>
      </w:r>
      <w:r w:rsidRPr="00EE4EC6">
        <w:rPr>
          <w:rFonts w:ascii="Times New Roman" w:eastAsia="Times New Roman" w:hAnsi="Times New Roman" w:cs="Times New Roman"/>
          <w:i/>
        </w:rPr>
        <w:t xml:space="preserve">trade value </w:t>
      </w:r>
      <w:r w:rsidRPr="00EE4EC6">
        <w:rPr>
          <w:rFonts w:ascii="Times New Roman" w:eastAsia="Times New Roman" w:hAnsi="Times New Roman" w:cs="Times New Roman"/>
        </w:rPr>
        <w:t>dari komoditas tembakau menurun sebesar US$5.969.040 atau sekitar 2,95% dari tahun 2019, hal ini kemudian juga berdampak terhadap daya saing ekspor komoditas tembakau Indonesia pada negara tujuan ekspor</w:t>
      </w:r>
      <w:r w:rsidR="00E96261" w:rsidRPr="00EE4EC6">
        <w:rPr>
          <w:rFonts w:ascii="Times New Roman" w:eastAsia="Times New Roman" w:hAnsi="Times New Roman" w:cs="Times New Roman"/>
          <w:lang w:val="id-ID"/>
        </w:rPr>
        <w:t xml:space="preserve"> </w:t>
      </w:r>
      <w:r w:rsidR="00E96261" w:rsidRPr="00EE4EC6">
        <w:rPr>
          <w:rFonts w:ascii="Times New Roman" w:eastAsia="Times New Roman" w:hAnsi="Times New Roman" w:cs="Times New Roman"/>
          <w:lang w:val="id-ID"/>
        </w:rPr>
        <w:fldChar w:fldCharType="begin" w:fldLock="1"/>
      </w:r>
      <w:r w:rsidR="00E96261" w:rsidRPr="00EE4EC6">
        <w:rPr>
          <w:rFonts w:ascii="Times New Roman" w:eastAsia="Times New Roman" w:hAnsi="Times New Roman" w:cs="Times New Roman"/>
          <w:lang w:val="id-ID"/>
        </w:rPr>
        <w:instrText>ADDIN CSL_CITATION {"citationItems":[{"id":"ITEM-1","itemData":{"author":[{"dropping-particle":"","family":"UN Comtrade","given":"","non-dropping-particle":"","parse-names":false,"suffix":""}],"container-title":"United Nation Commodity Trade","id":"ITEM-1","issued":{"date-parts":[["2021"]]},"page":"https://comtrade.un.org/data","title":"UN Comtrade Database","type":"webpage"},"uris":["http://www.mendeley.com/documents/?uuid=9b95f2e4-310f-4d74-bacc-8f3788830f2a"]}],"mendeley":{"formattedCitation":"(UN Comtrade, 2021)","plainTextFormattedCitation":"(UN Comtrade, 2021)","previouslyFormattedCitation":"(UN Comtrade, 2021)"},"properties":{"noteIndex":0},"schema":"https://github.com/citation-style-language/schema/raw/master/csl-citation.json"}</w:instrText>
      </w:r>
      <w:r w:rsidR="00E96261" w:rsidRPr="00EE4EC6">
        <w:rPr>
          <w:rFonts w:ascii="Times New Roman" w:eastAsia="Times New Roman" w:hAnsi="Times New Roman" w:cs="Times New Roman"/>
          <w:lang w:val="id-ID"/>
        </w:rPr>
        <w:fldChar w:fldCharType="separate"/>
      </w:r>
      <w:r w:rsidR="00E96261" w:rsidRPr="00EE4EC6">
        <w:rPr>
          <w:rFonts w:ascii="Times New Roman" w:eastAsia="Times New Roman" w:hAnsi="Times New Roman" w:cs="Times New Roman"/>
          <w:noProof/>
          <w:lang w:val="id-ID"/>
        </w:rPr>
        <w:t>(UN Comtrade, 2021)</w:t>
      </w:r>
      <w:r w:rsidR="00E96261" w:rsidRPr="00EE4EC6">
        <w:rPr>
          <w:rFonts w:ascii="Times New Roman" w:eastAsia="Times New Roman" w:hAnsi="Times New Roman" w:cs="Times New Roman"/>
          <w:lang w:val="id-ID"/>
        </w:rPr>
        <w:fldChar w:fldCharType="end"/>
      </w:r>
      <w:r w:rsidR="00E96261" w:rsidRPr="00EE4EC6">
        <w:rPr>
          <w:rFonts w:ascii="Times New Roman" w:eastAsia="Times New Roman" w:hAnsi="Times New Roman" w:cs="Times New Roman"/>
          <w:lang w:val="id-ID"/>
        </w:rPr>
        <w:t>.</w:t>
      </w:r>
      <w:r w:rsidRPr="00EE4EC6">
        <w:rPr>
          <w:rFonts w:ascii="Times New Roman" w:eastAsia="Times New Roman" w:hAnsi="Times New Roman" w:cs="Times New Roman"/>
        </w:rPr>
        <w:t xml:space="preserve"> </w:t>
      </w:r>
    </w:p>
    <w:p w:rsidR="005E068F" w:rsidRPr="00EE4EC6" w:rsidRDefault="002D4F6C" w:rsidP="00CB146D">
      <w:pPr>
        <w:spacing w:after="0" w:line="240" w:lineRule="auto"/>
        <w:ind w:firstLine="567"/>
        <w:jc w:val="both"/>
        <w:rPr>
          <w:rFonts w:ascii="Times New Roman" w:eastAsia="Times New Roman" w:hAnsi="Times New Roman" w:cs="Times New Roman"/>
          <w:color w:val="000000"/>
          <w:lang w:val="id-ID"/>
        </w:rPr>
      </w:pPr>
      <w:r w:rsidRPr="00EE4EC6">
        <w:rPr>
          <w:rFonts w:ascii="Times New Roman" w:eastAsia="Times New Roman" w:hAnsi="Times New Roman" w:cs="Times New Roman"/>
        </w:rPr>
        <w:t>Penelitian terkait daya saing</w:t>
      </w:r>
      <w:r w:rsidR="009604EA">
        <w:rPr>
          <w:rFonts w:ascii="Times New Roman" w:eastAsia="Times New Roman" w:hAnsi="Times New Roman" w:cs="Times New Roman"/>
          <w:lang w:val="id-ID"/>
        </w:rPr>
        <w:t xml:space="preserve"> komoditas</w:t>
      </w:r>
      <w:r w:rsidRPr="00EE4EC6">
        <w:rPr>
          <w:rFonts w:ascii="Times New Roman" w:eastAsia="Times New Roman" w:hAnsi="Times New Roman" w:cs="Times New Roman"/>
        </w:rPr>
        <w:t xml:space="preserve"> tembakau di negara tujuan utama telah dilakukan oleh</w:t>
      </w:r>
      <w:r w:rsidR="009604EA">
        <w:rPr>
          <w:rFonts w:ascii="Times New Roman" w:eastAsia="Times New Roman" w:hAnsi="Times New Roman" w:cs="Times New Roman"/>
          <w:lang w:val="id-ID"/>
        </w:rPr>
        <w:t xml:space="preserve"> beberapa peneliti, seperti</w:t>
      </w:r>
      <w:r w:rsidR="00E96261" w:rsidRPr="00EE4EC6">
        <w:rPr>
          <w:rFonts w:ascii="Times New Roman" w:eastAsia="Times New Roman" w:hAnsi="Times New Roman" w:cs="Times New Roman"/>
          <w:lang w:val="id-ID"/>
        </w:rPr>
        <w:t xml:space="preserve"> </w:t>
      </w:r>
      <w:r w:rsidR="00FD0BFC" w:rsidRPr="00EE4EC6">
        <w:rPr>
          <w:rFonts w:ascii="Times New Roman" w:eastAsia="Times New Roman" w:hAnsi="Times New Roman" w:cs="Times New Roman"/>
          <w:lang w:val="id-ID"/>
        </w:rPr>
        <w:t>(</w:t>
      </w:r>
      <w:r w:rsidR="00E96261" w:rsidRPr="00EE4EC6">
        <w:rPr>
          <w:rFonts w:ascii="Times New Roman" w:eastAsia="Times New Roman" w:hAnsi="Times New Roman" w:cs="Times New Roman"/>
          <w:lang w:val="id-ID"/>
        </w:rPr>
        <w:fldChar w:fldCharType="begin" w:fldLock="1"/>
      </w:r>
      <w:r w:rsidR="008627C4" w:rsidRPr="00EE4EC6">
        <w:rPr>
          <w:rFonts w:ascii="Times New Roman" w:eastAsia="Times New Roman" w:hAnsi="Times New Roman" w:cs="Times New Roman"/>
          <w:lang w:val="id-ID"/>
        </w:rPr>
        <w:instrText>ADDIN CSL_CITATION {"citationItems":[{"id":"ITEM-1","itemData":{"DOI":"10.21107/mediatrend.v13i2.4424","ISSN":"1858-1307","abstract":"Tobacco is one of Indonesia’s unique agricultural commodities. During the slowdown global market for tobacco products, Indonesia still has a relatively important position. This considerable potential is relatively difficult to maintain because both internally and externally, the commodity of tobacco which is the main ingredient of cigarettes, faces very fierce obstacles. This study aims to analyze the competitiveness of tobacco commodities in Indonesia during the period 1970-2016. The competitiveness indicator used is the trade balance index. The method used is quantitative descriptive and regression methods to evaluate the association between competitiveness indicators and their main determinants: production. The results showed that at the beginning of the period of development, tobacco products had good competitiveness. However, entering the 1990s the position of the tobacco trade was reversed. On the other hand, demand for tobacco consumption and the prevalence of smoking in Indonesia are always increasing. As a result, the tendency to weaken competitiveness shown by import penetration will continue. The implication is that the government must stem tobacco imports to achieve two goals at once: improve the tobacco trade balance and hold the smoking prevalence rate that tends to increase. Penulis","author":[{"dropping-particle":"","family":"Rasyid","given":"Mohtar","non-dropping-particle":"","parse-names":false,"suffix":""},{"dropping-particle":"","family":"Oktavianti","given":"Henny","non-dropping-particle":"","parse-names":false,"suffix":""},{"dropping-particle":"","family":"Kristina","given":"Anita","non-dropping-particle":"","parse-names":false,"suffix":""}],"container-title":"Media Trend","id":"ITEM-1","issue":"2","issued":{"date-parts":[["2018"]]},"page":"308-319","title":"Daya Saing Komoditas Tembakau Indonesia Dan Implikasinya Terhadap Produksi dalam Negeri","type":"article-journal","volume":"13"},"uris":["http://www.mendeley.com/documents/?uuid=eb5e8591-f5c2-4c25-b9fc-51d1bd0b8af5"]}],"mendeley":{"formattedCitation":"(Rasyid, Oktavianti, &amp; Kristina, 2018)","manualFormatting":"Rasyid et al. (2018)","plainTextFormattedCitation":"(Rasyid, Oktavianti, &amp; Kristina, 2018)","previouslyFormattedCitation":"(Rasyid, Oktavianti, &amp; Kristina, 2018)"},"properties":{"noteIndex":0},"schema":"https://github.com/citation-style-language/schema/raw/master/csl-citation.json"}</w:instrText>
      </w:r>
      <w:r w:rsidR="00E96261" w:rsidRPr="00EE4EC6">
        <w:rPr>
          <w:rFonts w:ascii="Times New Roman" w:eastAsia="Times New Roman" w:hAnsi="Times New Roman" w:cs="Times New Roman"/>
          <w:lang w:val="id-ID"/>
        </w:rPr>
        <w:fldChar w:fldCharType="separate"/>
      </w:r>
      <w:r w:rsidR="008627C4" w:rsidRPr="00EE4EC6">
        <w:rPr>
          <w:rFonts w:ascii="Times New Roman" w:eastAsia="Times New Roman" w:hAnsi="Times New Roman" w:cs="Times New Roman"/>
          <w:noProof/>
          <w:lang w:val="id-ID"/>
        </w:rPr>
        <w:t>Rasyid</w:t>
      </w:r>
      <w:r w:rsidR="00E96261" w:rsidRPr="00EE4EC6">
        <w:rPr>
          <w:rFonts w:ascii="Times New Roman" w:eastAsia="Times New Roman" w:hAnsi="Times New Roman" w:cs="Times New Roman"/>
          <w:noProof/>
          <w:lang w:val="id-ID"/>
        </w:rPr>
        <w:t xml:space="preserve"> </w:t>
      </w:r>
      <w:r w:rsidR="008627C4" w:rsidRPr="00EE4EC6">
        <w:rPr>
          <w:rFonts w:ascii="Times New Roman" w:eastAsia="Times New Roman" w:hAnsi="Times New Roman" w:cs="Times New Roman"/>
          <w:i/>
          <w:noProof/>
          <w:lang w:val="id-ID"/>
        </w:rPr>
        <w:t>et al.</w:t>
      </w:r>
      <w:r w:rsidR="00FD0BFC" w:rsidRPr="00EE4EC6">
        <w:rPr>
          <w:rFonts w:ascii="Times New Roman" w:eastAsia="Times New Roman" w:hAnsi="Times New Roman" w:cs="Times New Roman"/>
          <w:noProof/>
          <w:lang w:val="id-ID"/>
        </w:rPr>
        <w:t xml:space="preserve">, </w:t>
      </w:r>
      <w:r w:rsidR="00E96261" w:rsidRPr="00EE4EC6">
        <w:rPr>
          <w:rFonts w:ascii="Times New Roman" w:eastAsia="Times New Roman" w:hAnsi="Times New Roman" w:cs="Times New Roman"/>
          <w:noProof/>
          <w:lang w:val="id-ID"/>
        </w:rPr>
        <w:t>2018)</w:t>
      </w:r>
      <w:r w:rsidR="00E96261" w:rsidRPr="00EE4EC6">
        <w:rPr>
          <w:rFonts w:ascii="Times New Roman" w:eastAsia="Times New Roman" w:hAnsi="Times New Roman" w:cs="Times New Roman"/>
          <w:lang w:val="id-ID"/>
        </w:rPr>
        <w:fldChar w:fldCharType="end"/>
      </w:r>
      <w:r w:rsidR="008627C4" w:rsidRPr="00EE4EC6">
        <w:rPr>
          <w:rFonts w:ascii="Times New Roman" w:eastAsia="Times New Roman" w:hAnsi="Times New Roman" w:cs="Times New Roman"/>
          <w:lang w:val="id-ID"/>
        </w:rPr>
        <w:t xml:space="preserve">; </w:t>
      </w:r>
      <w:r w:rsidR="008627C4" w:rsidRPr="00EE4EC6">
        <w:rPr>
          <w:rFonts w:ascii="Times New Roman" w:eastAsia="Times New Roman" w:hAnsi="Times New Roman" w:cs="Times New Roman"/>
          <w:lang w:val="id-ID"/>
        </w:rPr>
        <w:fldChar w:fldCharType="begin" w:fldLock="1"/>
      </w:r>
      <w:r w:rsidR="008627C4" w:rsidRPr="00EE4EC6">
        <w:rPr>
          <w:rFonts w:ascii="Times New Roman" w:eastAsia="Times New Roman" w:hAnsi="Times New Roman" w:cs="Times New Roman"/>
          <w:lang w:val="id-ID"/>
        </w:rPr>
        <w:instrText>ADDIN CSL_CITATION {"citationItems":[{"id":"ITEM-1","itemData":{"author":[{"dropping-particle":"","family":"Zainuddin","given":"Ahmad","non-dropping-particle":"","parse-names":false,"suffix":""},{"dropping-particle":"","family":"Magfiroh","given":"Illia Seldon","non-dropping-particle":"","parse-names":false,"suffix":""},{"dropping-particle":"","family":"Setyawati","given":"Intan Kartika","non-dropping-particle":"","parse-names":false,"suffix":""},{"dropping-particle":"","family":"Rahman","given":"Rena Yunita","non-dropping-particle":"","parse-names":false,"suffix":""}],"container-title":"IPB Press","id":"ITEM-1","issued":{"date-parts":[["2018"]]},"title":"Agribisnis Tembakau, Membuka Ruang Inovasi dan Bisnis untuk Kemajuan Industri","type":"chapter"},"uris":["http://www.mendeley.com/documents/?uuid=491eb04e-b92e-4ae2-958d-83112fe0f1e6"]}],"mendeley":{"formattedCitation":"(Zainuddin, Magfiroh, Setyawati, &amp; Rahman, 2018)","manualFormatting":"Zainuddin et al. (2018)","plainTextFormattedCitation":"(Zainuddin, Magfiroh, Setyawati, &amp; Rahman, 2018)","previouslyFormattedCitation":"(Zainuddin, Magfiroh, Setyawati, &amp; Rahman, 2018)"},"properties":{"noteIndex":0},"schema":"https://github.com/citation-style-language/schema/raw/master/csl-citation.json"}</w:instrText>
      </w:r>
      <w:r w:rsidR="008627C4" w:rsidRPr="00EE4EC6">
        <w:rPr>
          <w:rFonts w:ascii="Times New Roman" w:eastAsia="Times New Roman" w:hAnsi="Times New Roman" w:cs="Times New Roman"/>
          <w:lang w:val="id-ID"/>
        </w:rPr>
        <w:fldChar w:fldCharType="separate"/>
      </w:r>
      <w:r w:rsidR="008627C4" w:rsidRPr="00EE4EC6">
        <w:rPr>
          <w:rFonts w:ascii="Times New Roman" w:eastAsia="Times New Roman" w:hAnsi="Times New Roman" w:cs="Times New Roman"/>
          <w:noProof/>
          <w:lang w:val="id-ID"/>
        </w:rPr>
        <w:t xml:space="preserve">Zainuddin </w:t>
      </w:r>
      <w:r w:rsidR="008627C4" w:rsidRPr="00EE4EC6">
        <w:rPr>
          <w:rFonts w:ascii="Times New Roman" w:eastAsia="Times New Roman" w:hAnsi="Times New Roman" w:cs="Times New Roman"/>
          <w:i/>
          <w:noProof/>
          <w:lang w:val="id-ID"/>
        </w:rPr>
        <w:t>et al.</w:t>
      </w:r>
      <w:r w:rsidR="00FD0BFC" w:rsidRPr="00EE4EC6">
        <w:rPr>
          <w:rFonts w:ascii="Times New Roman" w:eastAsia="Times New Roman" w:hAnsi="Times New Roman" w:cs="Times New Roman"/>
          <w:noProof/>
          <w:lang w:val="id-ID"/>
        </w:rPr>
        <w:t xml:space="preserve">, </w:t>
      </w:r>
      <w:r w:rsidR="008627C4" w:rsidRPr="00EE4EC6">
        <w:rPr>
          <w:rFonts w:ascii="Times New Roman" w:eastAsia="Times New Roman" w:hAnsi="Times New Roman" w:cs="Times New Roman"/>
          <w:noProof/>
          <w:lang w:val="id-ID"/>
        </w:rPr>
        <w:t>2018)</w:t>
      </w:r>
      <w:r w:rsidR="008627C4" w:rsidRPr="00EE4EC6">
        <w:rPr>
          <w:rFonts w:ascii="Times New Roman" w:eastAsia="Times New Roman" w:hAnsi="Times New Roman" w:cs="Times New Roman"/>
          <w:lang w:val="id-ID"/>
        </w:rPr>
        <w:fldChar w:fldCharType="end"/>
      </w:r>
      <w:r w:rsidR="008627C4" w:rsidRPr="00EE4EC6">
        <w:rPr>
          <w:rFonts w:ascii="Times New Roman" w:eastAsia="Times New Roman" w:hAnsi="Times New Roman" w:cs="Times New Roman"/>
          <w:lang w:val="id-ID"/>
        </w:rPr>
        <w:t xml:space="preserve">; </w:t>
      </w:r>
      <w:r w:rsidR="008627C4" w:rsidRPr="00EE4EC6">
        <w:rPr>
          <w:rFonts w:ascii="Times New Roman" w:eastAsia="Times New Roman" w:hAnsi="Times New Roman" w:cs="Times New Roman"/>
          <w:lang w:val="id-ID"/>
        </w:rPr>
        <w:fldChar w:fldCharType="begin" w:fldLock="1"/>
      </w:r>
      <w:r w:rsidR="008627C4" w:rsidRPr="00EE4EC6">
        <w:rPr>
          <w:rFonts w:ascii="Times New Roman" w:eastAsia="Times New Roman" w:hAnsi="Times New Roman" w:cs="Times New Roman"/>
          <w:lang w:val="id-ID"/>
        </w:rPr>
        <w:instrText>ADDIN CSL_CITATION {"citationItems":[{"id":"ITEM-1","itemData":{"author":[{"dropping-particle":"","family":"Iswara","given":"I B Mulya","non-dropping-particle":"","parse-names":false,"suffix":""},{"dropping-particle":"","family":"Meydianawathi","given":"Luh Gede","non-dropping-particle":"","parse-names":false,"suffix":""}],"container-title":"Ekonomi Pembangunan Universitas Udayana","id":"ITEM-1","issue":"10","issued":{"date-parts":[["2017"]]},"page":"2074-2102","title":"ANALISIS DAYA SAING EKSPOR TEMBAKAU INDONESIA KE PASAR JEPANG PERIODE 2005-2014 Fakultas Ekonomi dan Bisnis Universitas Udayana ( Unud ), Bali , Indonesia PENDAHULUAN Perdagangan internasional memberikan manfaat dan keuntungan yang besar , apabila negara-","type":"article-journal","volume":"6"},"uris":["http://www.mendeley.com/documents/?uuid=64c2bef2-2a0b-4fbc-8126-0ef70950e5fb"]}],"mendeley":{"formattedCitation":"(Iswara &amp; Meydianawathi, 2017)","manualFormatting":"Iswara dan Meydianawathi [2017)","plainTextFormattedCitation":"(Iswara &amp; Meydianawathi, 2017)","previouslyFormattedCitation":"(Iswara &amp; Meydianawathi, 2017)"},"properties":{"noteIndex":0},"schema":"https://github.com/citation-style-language/schema/raw/master/csl-citation.json"}</w:instrText>
      </w:r>
      <w:r w:rsidR="008627C4" w:rsidRPr="00EE4EC6">
        <w:rPr>
          <w:rFonts w:ascii="Times New Roman" w:eastAsia="Times New Roman" w:hAnsi="Times New Roman" w:cs="Times New Roman"/>
          <w:lang w:val="id-ID"/>
        </w:rPr>
        <w:fldChar w:fldCharType="separate"/>
      </w:r>
      <w:r w:rsidR="00FD0BFC" w:rsidRPr="00EE4EC6">
        <w:rPr>
          <w:rFonts w:ascii="Times New Roman" w:eastAsia="Times New Roman" w:hAnsi="Times New Roman" w:cs="Times New Roman"/>
          <w:noProof/>
          <w:lang w:val="id-ID"/>
        </w:rPr>
        <w:t xml:space="preserve">Iswara dan Meydianawathi, </w:t>
      </w:r>
      <w:r w:rsidR="008627C4" w:rsidRPr="00EE4EC6">
        <w:rPr>
          <w:rFonts w:ascii="Times New Roman" w:eastAsia="Times New Roman" w:hAnsi="Times New Roman" w:cs="Times New Roman"/>
          <w:noProof/>
          <w:lang w:val="id-ID"/>
        </w:rPr>
        <w:t>2017)</w:t>
      </w:r>
      <w:r w:rsidR="008627C4" w:rsidRPr="00EE4EC6">
        <w:rPr>
          <w:rFonts w:ascii="Times New Roman" w:eastAsia="Times New Roman" w:hAnsi="Times New Roman" w:cs="Times New Roman"/>
          <w:lang w:val="id-ID"/>
        </w:rPr>
        <w:fldChar w:fldCharType="end"/>
      </w:r>
      <w:r w:rsidR="00FD0BFC" w:rsidRPr="00EE4EC6">
        <w:rPr>
          <w:rFonts w:ascii="Times New Roman" w:eastAsia="Times New Roman" w:hAnsi="Times New Roman" w:cs="Times New Roman"/>
          <w:lang w:val="id-ID"/>
        </w:rPr>
        <w:t xml:space="preserve">; serta </w:t>
      </w:r>
      <w:r w:rsidR="004B491D" w:rsidRPr="00EE4EC6">
        <w:rPr>
          <w:rFonts w:ascii="Times New Roman" w:eastAsia="Times New Roman" w:hAnsi="Times New Roman" w:cs="Times New Roman"/>
          <w:lang w:val="id-ID"/>
        </w:rPr>
        <w:fldChar w:fldCharType="begin" w:fldLock="1"/>
      </w:r>
      <w:r w:rsidR="00F85700" w:rsidRPr="00EE4EC6">
        <w:rPr>
          <w:rFonts w:ascii="Times New Roman" w:eastAsia="Times New Roman" w:hAnsi="Times New Roman" w:cs="Times New Roman"/>
          <w:lang w:val="id-ID"/>
        </w:rPr>
        <w:instrText>ADDIN CSL_CITATION {"citationItems":[{"id":"ITEM-1","itemData":{"author":[{"dropping-particle":"","family":"Sulastri","given":"Ritesa","non-dropping-particle":"","parse-names":false,"suffix":""}],"id":"ITEM-1","issued":{"date-parts":[["2016"]]},"title":"Analisis Daya Saing dan Faktor - Faktor yang Mempengaruhi Ekspor Tembakau Indonesia di Negara Tujuan Utama","type":"thesis"},"uris":["http://www.mendeley.com/documents/?uuid=29e5b385-7e97-496e-9ea1-28acb5b31463"]}],"mendeley":{"formattedCitation":"(Sulastri, 2016)","manualFormatting":"Sulastri, 2016)","plainTextFormattedCitation":"(Sulastri, 2016)","previouslyFormattedCitation":"(Sulastri, 2016)"},"properties":{"noteIndex":0},"schema":"https://github.com/citation-style-language/schema/raw/master/csl-citation.json"}</w:instrText>
      </w:r>
      <w:r w:rsidR="004B491D" w:rsidRPr="00EE4EC6">
        <w:rPr>
          <w:rFonts w:ascii="Times New Roman" w:eastAsia="Times New Roman" w:hAnsi="Times New Roman" w:cs="Times New Roman"/>
          <w:lang w:val="id-ID"/>
        </w:rPr>
        <w:fldChar w:fldCharType="separate"/>
      </w:r>
      <w:r w:rsidR="004B491D" w:rsidRPr="00EE4EC6">
        <w:rPr>
          <w:rFonts w:ascii="Times New Roman" w:eastAsia="Times New Roman" w:hAnsi="Times New Roman" w:cs="Times New Roman"/>
          <w:noProof/>
          <w:lang w:val="id-ID"/>
        </w:rPr>
        <w:t>Sulastri,</w:t>
      </w:r>
      <w:r w:rsidR="00FD0BFC" w:rsidRPr="00EE4EC6">
        <w:rPr>
          <w:rFonts w:ascii="Times New Roman" w:eastAsia="Times New Roman" w:hAnsi="Times New Roman" w:cs="Times New Roman"/>
          <w:noProof/>
          <w:lang w:val="id-ID"/>
        </w:rPr>
        <w:t xml:space="preserve"> </w:t>
      </w:r>
      <w:r w:rsidR="004B491D" w:rsidRPr="00EE4EC6">
        <w:rPr>
          <w:rFonts w:ascii="Times New Roman" w:eastAsia="Times New Roman" w:hAnsi="Times New Roman" w:cs="Times New Roman"/>
          <w:noProof/>
          <w:lang w:val="id-ID"/>
        </w:rPr>
        <w:t>2016)</w:t>
      </w:r>
      <w:r w:rsidR="004B491D" w:rsidRPr="00EE4EC6">
        <w:rPr>
          <w:rFonts w:ascii="Times New Roman" w:eastAsia="Times New Roman" w:hAnsi="Times New Roman" w:cs="Times New Roman"/>
          <w:lang w:val="id-ID"/>
        </w:rPr>
        <w:fldChar w:fldCharType="end"/>
      </w:r>
      <w:r w:rsidR="004B491D" w:rsidRPr="00EE4EC6">
        <w:rPr>
          <w:rFonts w:ascii="Times New Roman" w:eastAsia="Times New Roman" w:hAnsi="Times New Roman" w:cs="Times New Roman"/>
          <w:lang w:val="id-ID"/>
        </w:rPr>
        <w:t>.</w:t>
      </w:r>
      <w:r w:rsidR="006B1198" w:rsidRPr="00EE4EC6">
        <w:rPr>
          <w:rFonts w:ascii="Times New Roman" w:eastAsia="Times New Roman" w:hAnsi="Times New Roman" w:cs="Times New Roman"/>
          <w:lang w:val="id-ID"/>
        </w:rPr>
        <w:t xml:space="preserve"> </w:t>
      </w:r>
      <w:r w:rsidR="009604EA">
        <w:rPr>
          <w:rFonts w:ascii="Times New Roman" w:eastAsia="Times New Roman" w:hAnsi="Times New Roman" w:cs="Times New Roman"/>
          <w:lang w:val="id-ID"/>
        </w:rPr>
        <w:t>P</w:t>
      </w:r>
      <w:r w:rsidRPr="00EE4EC6">
        <w:rPr>
          <w:rFonts w:ascii="Times New Roman" w:eastAsia="Times New Roman" w:hAnsi="Times New Roman" w:cs="Times New Roman"/>
          <w:lang w:val="id-ID"/>
        </w:rPr>
        <w:t xml:space="preserve">enelitian tersebut melihat daya saing ekspor komoditas tembakau yang terjadi pada masa sebelum pandemi Covid-19, sehingga perlu dilakukan penelitian untuk meninjau terkait daya saing ekspor komoditas </w:t>
      </w:r>
      <w:r w:rsidRPr="00EE4EC6">
        <w:rPr>
          <w:rFonts w:ascii="Times New Roman" w:eastAsia="Times New Roman" w:hAnsi="Times New Roman" w:cs="Times New Roman"/>
          <w:lang w:val="id-ID"/>
        </w:rPr>
        <w:lastRenderedPageBreak/>
        <w:t>tembakau Indonesia pada masa pandemi Covid-19, terutama di negara tujuan utama ekspor komoditas tembakau</w:t>
      </w:r>
      <w:r w:rsidR="009604EA">
        <w:rPr>
          <w:rFonts w:ascii="Times New Roman" w:eastAsia="Times New Roman" w:hAnsi="Times New Roman" w:cs="Times New Roman"/>
          <w:lang w:val="id-ID"/>
        </w:rPr>
        <w:t xml:space="preserve"> Indonesia</w:t>
      </w:r>
      <w:r w:rsidR="003004D8" w:rsidRPr="00EE4EC6">
        <w:rPr>
          <w:rFonts w:ascii="Times New Roman" w:eastAsia="Times New Roman" w:hAnsi="Times New Roman" w:cs="Times New Roman"/>
          <w:lang w:val="id-ID"/>
        </w:rPr>
        <w:t xml:space="preserve">. </w:t>
      </w:r>
      <w:r w:rsidR="0042188D" w:rsidRPr="00EE4EC6">
        <w:rPr>
          <w:rFonts w:ascii="Times New Roman" w:eastAsia="Times New Roman" w:hAnsi="Times New Roman" w:cs="Times New Roman"/>
          <w:lang w:val="id-ID"/>
        </w:rPr>
        <w:t xml:space="preserve">Tujuan dari </w:t>
      </w:r>
      <w:r w:rsidR="006B1198" w:rsidRPr="00EE4EC6">
        <w:rPr>
          <w:rFonts w:ascii="Times New Roman" w:eastAsia="Times New Roman" w:hAnsi="Times New Roman" w:cs="Times New Roman"/>
          <w:lang w:val="id-ID"/>
        </w:rPr>
        <w:t>makalah</w:t>
      </w:r>
      <w:r w:rsidR="0042188D" w:rsidRPr="00EE4EC6">
        <w:rPr>
          <w:rFonts w:ascii="Times New Roman" w:eastAsia="Times New Roman" w:hAnsi="Times New Roman" w:cs="Times New Roman"/>
          <w:lang w:val="id-ID"/>
        </w:rPr>
        <w:t xml:space="preserve"> ini adalah </w:t>
      </w:r>
      <w:r w:rsidR="00F50292" w:rsidRPr="00EE4EC6">
        <w:rPr>
          <w:rFonts w:ascii="Times New Roman" w:eastAsia="Times New Roman" w:hAnsi="Times New Roman" w:cs="Times New Roman"/>
          <w:color w:val="000000"/>
        </w:rPr>
        <w:t>untuk mengetahui daya saing ekspor komoditas tembakau Indonesia di negara tujuan utama</w:t>
      </w:r>
      <w:r w:rsidR="0042188D" w:rsidRPr="00EE4EC6">
        <w:rPr>
          <w:rFonts w:ascii="Times New Roman" w:eastAsia="Times New Roman" w:hAnsi="Times New Roman" w:cs="Times New Roman"/>
          <w:color w:val="000000"/>
          <w:lang w:val="id-ID"/>
        </w:rPr>
        <w:t>.</w:t>
      </w:r>
    </w:p>
    <w:p w:rsidR="00114880" w:rsidRPr="00BE6EE7" w:rsidRDefault="00114880" w:rsidP="00C71134">
      <w:pPr>
        <w:spacing w:after="0" w:line="240" w:lineRule="auto"/>
        <w:jc w:val="both"/>
        <w:rPr>
          <w:rFonts w:ascii="Times New Roman" w:hAnsi="Times New Roman" w:cs="Times New Roman"/>
          <w:lang w:val="id-ID"/>
        </w:rPr>
      </w:pPr>
    </w:p>
    <w:p w:rsidR="00BB217A" w:rsidRPr="009F7A5E" w:rsidRDefault="00AE3DFA" w:rsidP="00114880">
      <w:pPr>
        <w:spacing w:after="0" w:line="240" w:lineRule="auto"/>
        <w:rPr>
          <w:rFonts w:ascii="Times New Roman" w:hAnsi="Times New Roman" w:cs="Times New Roman"/>
          <w:b/>
          <w:sz w:val="24"/>
          <w:szCs w:val="24"/>
          <w:lang w:val="id-ID"/>
        </w:rPr>
      </w:pPr>
      <w:r w:rsidRPr="009F7A5E">
        <w:rPr>
          <w:rFonts w:ascii="Times New Roman" w:hAnsi="Times New Roman" w:cs="Times New Roman"/>
          <w:b/>
          <w:sz w:val="24"/>
          <w:szCs w:val="24"/>
          <w:lang w:val="id-ID"/>
        </w:rPr>
        <w:t>METODE PENELITIAN</w:t>
      </w:r>
    </w:p>
    <w:p w:rsidR="006504D6" w:rsidRPr="00BE6EE7" w:rsidRDefault="00A14030" w:rsidP="00114880">
      <w:pPr>
        <w:spacing w:after="0" w:line="240" w:lineRule="auto"/>
        <w:ind w:firstLine="567"/>
        <w:jc w:val="both"/>
        <w:rPr>
          <w:rFonts w:ascii="Times New Roman" w:eastAsia="Times New Roman" w:hAnsi="Times New Roman" w:cs="Times New Roman"/>
        </w:rPr>
      </w:pPr>
      <w:r w:rsidRPr="00BE6EE7">
        <w:rPr>
          <w:rFonts w:ascii="Times New Roman" w:eastAsia="Times New Roman" w:hAnsi="Times New Roman" w:cs="Times New Roman"/>
        </w:rPr>
        <w:t xml:space="preserve">Penelitian ini berfokus untuk melihat daya saing ekspor tembakau Indonesia di negara tujuan utama. Negara yang dipilih ialah Belgia, Singapura, Republik Dominika, Sri Lanka, Jerman, Belanda, dan Amerika Serikat. Negara tersebut dipilih dengan menggunakan </w:t>
      </w:r>
      <w:r w:rsidRPr="00BE6EE7">
        <w:rPr>
          <w:rFonts w:ascii="Times New Roman" w:eastAsia="Times New Roman" w:hAnsi="Times New Roman" w:cs="Times New Roman"/>
          <w:i/>
        </w:rPr>
        <w:t xml:space="preserve">purposive method </w:t>
      </w:r>
      <w:r w:rsidRPr="00BE6EE7">
        <w:rPr>
          <w:rFonts w:ascii="Times New Roman" w:eastAsia="Times New Roman" w:hAnsi="Times New Roman" w:cs="Times New Roman"/>
        </w:rPr>
        <w:t>dengan pertimbangan bahwa kelima negara tersebut merupakan negara tujuan ekspor utama komoditas tembakau Indonesia dengan persentase masing-masing negara di atas 5% dari total ekspor komoditas tembakau Indonesia</w:t>
      </w:r>
      <w:r w:rsidRPr="00BE6EE7">
        <w:rPr>
          <w:rFonts w:ascii="Times New Roman" w:eastAsia="Times New Roman" w:hAnsi="Times New Roman" w:cs="Times New Roman"/>
          <w:lang w:val="id-ID"/>
        </w:rPr>
        <w:t xml:space="preserve"> </w:t>
      </w:r>
      <w:r w:rsidRPr="00BE6EE7">
        <w:rPr>
          <w:rFonts w:ascii="Times New Roman" w:eastAsia="Times New Roman" w:hAnsi="Times New Roman" w:cs="Times New Roman"/>
          <w:lang w:val="id-ID"/>
        </w:rPr>
        <w:fldChar w:fldCharType="begin" w:fldLock="1"/>
      </w:r>
      <w:r w:rsidRPr="00BE6EE7">
        <w:rPr>
          <w:rFonts w:ascii="Times New Roman" w:eastAsia="Times New Roman" w:hAnsi="Times New Roman" w:cs="Times New Roman"/>
          <w:lang w:val="id-ID"/>
        </w:rPr>
        <w:instrText>ADDIN CSL_CITATION {"citationItems":[{"id":"ITEM-1","itemData":{"author":[{"dropping-particle":"","family":"Direktorat Jenderal Perkebunan Republik Indonesia","given":"","non-dropping-particle":"","parse-names":false,"suffix":""}],"id":"ITEM-1","issued":{"date-parts":[["2021"]]},"number-of-pages":"1-1046","title":"Statistik Perkebunan Unggulan Nasional 2019 - 2021","type":"book"},"uris":["http://www.mendeley.com/documents/?uuid=bce9b454-0900-49b0-8d72-0e27ce9695ee"]}],"mendeley":{"formattedCitation":"(Direktorat Jenderal Perkebunan Republik Indonesia, 2021)","manualFormatting":"(Direktorat Jenderal Perkebunan, 2021)","plainTextFormattedCitation":"(Direktorat Jenderal Perkebunan Republik Indonesia, 2021)","previouslyFormattedCitation":"(Direktorat Jenderal Perkebunan Republik Indonesia, 2021)"},"properties":{"noteIndex":0},"schema":"https://github.com/citation-style-language/schema/raw/master/csl-citation.json"}</w:instrText>
      </w:r>
      <w:r w:rsidRPr="00BE6EE7">
        <w:rPr>
          <w:rFonts w:ascii="Times New Roman" w:eastAsia="Times New Roman" w:hAnsi="Times New Roman" w:cs="Times New Roman"/>
          <w:lang w:val="id-ID"/>
        </w:rPr>
        <w:fldChar w:fldCharType="separate"/>
      </w:r>
      <w:r w:rsidRPr="00BE6EE7">
        <w:rPr>
          <w:rFonts w:ascii="Times New Roman" w:eastAsia="Times New Roman" w:hAnsi="Times New Roman" w:cs="Times New Roman"/>
          <w:noProof/>
          <w:lang w:val="id-ID"/>
        </w:rPr>
        <w:t>(Direktorat Jenderal Perkebunan, 2021)</w:t>
      </w:r>
      <w:r w:rsidRPr="00BE6EE7">
        <w:rPr>
          <w:rFonts w:ascii="Times New Roman" w:eastAsia="Times New Roman" w:hAnsi="Times New Roman" w:cs="Times New Roman"/>
          <w:lang w:val="id-ID"/>
        </w:rPr>
        <w:fldChar w:fldCharType="end"/>
      </w:r>
      <w:r w:rsidRPr="00BE6EE7">
        <w:rPr>
          <w:rFonts w:ascii="Times New Roman" w:eastAsia="Times New Roman" w:hAnsi="Times New Roman" w:cs="Times New Roman"/>
          <w:lang w:val="id-ID"/>
        </w:rPr>
        <w:t xml:space="preserve">. </w:t>
      </w:r>
    </w:p>
    <w:p w:rsidR="00E42EF9" w:rsidRDefault="00A14030" w:rsidP="00CB146D">
      <w:pPr>
        <w:spacing w:after="0" w:line="240" w:lineRule="auto"/>
        <w:ind w:firstLine="567"/>
        <w:jc w:val="both"/>
        <w:rPr>
          <w:rFonts w:ascii="Times New Roman" w:eastAsia="Times New Roman" w:hAnsi="Times New Roman" w:cs="Times New Roman"/>
          <w:color w:val="000000"/>
        </w:rPr>
      </w:pPr>
      <w:r w:rsidRPr="00BE6EE7">
        <w:rPr>
          <w:rFonts w:ascii="Times New Roman" w:eastAsia="Times New Roman" w:hAnsi="Times New Roman" w:cs="Times New Roman"/>
        </w:rPr>
        <w:t>Data yang digunakan dalam penelitian ini adalah data sekunder. Menurut</w:t>
      </w:r>
      <w:r w:rsidRPr="00BE6EE7">
        <w:rPr>
          <w:rFonts w:ascii="Times New Roman" w:eastAsia="Times New Roman" w:hAnsi="Times New Roman" w:cs="Times New Roman"/>
          <w:lang w:val="id-ID"/>
        </w:rPr>
        <w:t xml:space="preserve"> </w:t>
      </w:r>
      <w:r w:rsidRPr="00BE6EE7">
        <w:rPr>
          <w:rFonts w:ascii="Times New Roman" w:eastAsia="Times New Roman" w:hAnsi="Times New Roman" w:cs="Times New Roman"/>
          <w:lang w:val="id-ID"/>
        </w:rPr>
        <w:fldChar w:fldCharType="begin" w:fldLock="1"/>
      </w:r>
      <w:r w:rsidRPr="00BE6EE7">
        <w:rPr>
          <w:rFonts w:ascii="Times New Roman" w:eastAsia="Times New Roman" w:hAnsi="Times New Roman" w:cs="Times New Roman"/>
          <w:lang w:val="id-ID"/>
        </w:rPr>
        <w:instrText>ADDIN CSL_CITATION {"citationItems":[{"id":"ITEM-1","itemData":{"author":[{"dropping-particle":"","family":"Martono","given":"Nanang","non-dropping-particle":"","parse-names":false,"suffix":""}],"edition":"Revisi 2","id":"ITEM-1","issued":{"date-parts":[["2014"]]},"publisher":"PT RajaGrafindo Persada","publisher-place":"Jakarta","title":"Penelitian Kuantitatif : Analisis Isi dan Analisis Data Sekunder","type":"book"},"uris":["http://www.mendeley.com/documents/?uuid=a49979f8-915a-4414-b2ff-097d1b365bdd"]}],"mendeley":{"formattedCitation":"(Martono, 2014)","manualFormatting":"Martono (2014)","plainTextFormattedCitation":"(Martono, 2014)","previouslyFormattedCitation":"(Martono, 2014)"},"properties":{"noteIndex":0},"schema":"https://github.com/citation-style-language/schema/raw/master/csl-citation.json"}</w:instrText>
      </w:r>
      <w:r w:rsidRPr="00BE6EE7">
        <w:rPr>
          <w:rFonts w:ascii="Times New Roman" w:eastAsia="Times New Roman" w:hAnsi="Times New Roman" w:cs="Times New Roman"/>
          <w:lang w:val="id-ID"/>
        </w:rPr>
        <w:fldChar w:fldCharType="separate"/>
      </w:r>
      <w:r w:rsidRPr="00BE6EE7">
        <w:rPr>
          <w:rFonts w:ascii="Times New Roman" w:eastAsia="Times New Roman" w:hAnsi="Times New Roman" w:cs="Times New Roman"/>
          <w:noProof/>
          <w:lang w:val="id-ID"/>
        </w:rPr>
        <w:t>Martono (2014)</w:t>
      </w:r>
      <w:r w:rsidRPr="00BE6EE7">
        <w:rPr>
          <w:rFonts w:ascii="Times New Roman" w:eastAsia="Times New Roman" w:hAnsi="Times New Roman" w:cs="Times New Roman"/>
          <w:lang w:val="id-ID"/>
        </w:rPr>
        <w:fldChar w:fldCharType="end"/>
      </w:r>
      <w:r w:rsidRPr="00BE6EE7">
        <w:rPr>
          <w:rFonts w:ascii="Times New Roman" w:eastAsia="Times New Roman" w:hAnsi="Times New Roman" w:cs="Times New Roman"/>
          <w:lang w:val="id-ID"/>
        </w:rPr>
        <w:t>,</w:t>
      </w:r>
      <w:r w:rsidRPr="00BE6EE7">
        <w:rPr>
          <w:rFonts w:ascii="Times New Roman" w:eastAsia="Times New Roman" w:hAnsi="Times New Roman" w:cs="Times New Roman"/>
        </w:rPr>
        <w:t xml:space="preserve"> data sekunder merupakan sumber data dalam penelitian yang berasal dari data olahan pihak lain yang kredibel. Sumber data yang digunakan peneliti dalam penelitian ini bersumber dari B</w:t>
      </w:r>
      <w:r w:rsidR="006B1198" w:rsidRPr="00BE6EE7">
        <w:rPr>
          <w:rFonts w:ascii="Times New Roman" w:eastAsia="Times New Roman" w:hAnsi="Times New Roman" w:cs="Times New Roman"/>
          <w:lang w:val="id-ID"/>
        </w:rPr>
        <w:t xml:space="preserve">adan </w:t>
      </w:r>
      <w:r w:rsidRPr="00BE6EE7">
        <w:rPr>
          <w:rFonts w:ascii="Times New Roman" w:eastAsia="Times New Roman" w:hAnsi="Times New Roman" w:cs="Times New Roman"/>
        </w:rPr>
        <w:t>P</w:t>
      </w:r>
      <w:r w:rsidR="006B1198" w:rsidRPr="00BE6EE7">
        <w:rPr>
          <w:rFonts w:ascii="Times New Roman" w:eastAsia="Times New Roman" w:hAnsi="Times New Roman" w:cs="Times New Roman"/>
          <w:lang w:val="id-ID"/>
        </w:rPr>
        <w:t xml:space="preserve">usat </w:t>
      </w:r>
      <w:r w:rsidRPr="00BE6EE7">
        <w:rPr>
          <w:rFonts w:ascii="Times New Roman" w:eastAsia="Times New Roman" w:hAnsi="Times New Roman" w:cs="Times New Roman"/>
        </w:rPr>
        <w:t>S</w:t>
      </w:r>
      <w:r w:rsidR="006B1198" w:rsidRPr="00BE6EE7">
        <w:rPr>
          <w:rFonts w:ascii="Times New Roman" w:eastAsia="Times New Roman" w:hAnsi="Times New Roman" w:cs="Times New Roman"/>
          <w:lang w:val="id-ID"/>
        </w:rPr>
        <w:t>tatistik</w:t>
      </w:r>
      <w:r w:rsidRPr="00BE6EE7">
        <w:rPr>
          <w:rFonts w:ascii="Times New Roman" w:eastAsia="Times New Roman" w:hAnsi="Times New Roman" w:cs="Times New Roman"/>
        </w:rPr>
        <w:t>, Direktorat Jenderal Perkebunan</w:t>
      </w:r>
      <w:r w:rsidR="006B1198" w:rsidRPr="00BE6EE7">
        <w:rPr>
          <w:rFonts w:ascii="Times New Roman" w:eastAsia="Times New Roman" w:hAnsi="Times New Roman" w:cs="Times New Roman"/>
          <w:lang w:val="id-ID"/>
        </w:rPr>
        <w:t xml:space="preserve"> Kementerian Pertanian</w:t>
      </w:r>
      <w:r w:rsidRPr="00BE6EE7">
        <w:rPr>
          <w:rFonts w:ascii="Times New Roman" w:eastAsia="Times New Roman" w:hAnsi="Times New Roman" w:cs="Times New Roman"/>
        </w:rPr>
        <w:t xml:space="preserve">, </w:t>
      </w:r>
      <w:r w:rsidR="006B1198" w:rsidRPr="00BE6EE7">
        <w:rPr>
          <w:rFonts w:ascii="Times New Roman" w:eastAsia="Times New Roman" w:hAnsi="Times New Roman" w:cs="Times New Roman"/>
          <w:lang w:val="id-ID"/>
        </w:rPr>
        <w:t xml:space="preserve">World Bank, </w:t>
      </w:r>
      <w:r w:rsidRPr="00BE6EE7">
        <w:rPr>
          <w:rFonts w:ascii="Times New Roman" w:eastAsia="Times New Roman" w:hAnsi="Times New Roman" w:cs="Times New Roman"/>
        </w:rPr>
        <w:t xml:space="preserve">Bank Indonesia, Kementerian Keuangan, dan lain sebagainya. Kode HS yang digunakan dalam penelitian ini ialah 2401 dengan pertimbangan bahwa kode HS 2401 masih termasuk tembakau dan belum menjadi produk turunan. Data yang digunakan merupakan data </w:t>
      </w:r>
      <w:r w:rsidRPr="00BE6EE7">
        <w:rPr>
          <w:rFonts w:ascii="Times New Roman" w:eastAsia="Times New Roman" w:hAnsi="Times New Roman" w:cs="Times New Roman"/>
          <w:i/>
        </w:rPr>
        <w:t xml:space="preserve">time series </w:t>
      </w:r>
      <w:r w:rsidRPr="00BE6EE7">
        <w:rPr>
          <w:rFonts w:ascii="Times New Roman" w:eastAsia="Times New Roman" w:hAnsi="Times New Roman" w:cs="Times New Roman"/>
        </w:rPr>
        <w:t>selama 38 bulan dengan kurun waktu dari Agustus 2018</w:t>
      </w:r>
      <w:r w:rsidRPr="00BE6EE7">
        <w:rPr>
          <w:rFonts w:ascii="Times New Roman" w:eastAsia="Times New Roman" w:hAnsi="Times New Roman" w:cs="Times New Roman"/>
          <w:lang w:val="id-ID"/>
        </w:rPr>
        <w:t xml:space="preserve"> </w:t>
      </w:r>
      <w:r w:rsidRPr="00BE6EE7">
        <w:rPr>
          <w:rFonts w:ascii="Times New Roman" w:eastAsia="Times New Roman" w:hAnsi="Times New Roman" w:cs="Times New Roman"/>
        </w:rPr>
        <w:t>–</w:t>
      </w:r>
      <w:r w:rsidRPr="00BE6EE7">
        <w:rPr>
          <w:rFonts w:ascii="Times New Roman" w:eastAsia="Times New Roman" w:hAnsi="Times New Roman" w:cs="Times New Roman"/>
          <w:lang w:val="id-ID"/>
        </w:rPr>
        <w:t xml:space="preserve"> </w:t>
      </w:r>
      <w:r w:rsidRPr="00BE6EE7">
        <w:rPr>
          <w:rFonts w:ascii="Times New Roman" w:eastAsia="Times New Roman" w:hAnsi="Times New Roman" w:cs="Times New Roman"/>
        </w:rPr>
        <w:t>September 2021. Periode sebelum Covid-19 dimulai dari bulan Agustus 2018 – Februari 2020 dan periode saat Covid-19 dimulai dari bulan Maret 2020 – September 2021 dengan mengikuti waktu awal penyebaran Covid-19 di Indonesia</w:t>
      </w:r>
      <w:r w:rsidRPr="00BE6EE7">
        <w:rPr>
          <w:rFonts w:ascii="Times New Roman" w:eastAsia="Times New Roman" w:hAnsi="Times New Roman" w:cs="Times New Roman"/>
          <w:lang w:val="id-ID"/>
        </w:rPr>
        <w:t xml:space="preserve">. </w:t>
      </w:r>
      <w:r w:rsidRPr="00BE6EE7">
        <w:rPr>
          <w:rFonts w:ascii="Times New Roman" w:eastAsia="Times New Roman" w:hAnsi="Times New Roman" w:cs="Times New Roman"/>
          <w:color w:val="000000"/>
        </w:rPr>
        <w:t>Pada penelitian ini daya saing ekspor tembakau ke negara tujuan utama</w:t>
      </w:r>
      <w:r w:rsidRPr="00BE6EE7">
        <w:rPr>
          <w:rFonts w:ascii="Times New Roman" w:hAnsi="Times New Roman" w:cs="Times New Roman"/>
        </w:rPr>
        <w:t xml:space="preserve"> </w:t>
      </w:r>
      <w:r w:rsidRPr="00BE6EE7">
        <w:rPr>
          <w:rFonts w:ascii="Times New Roman" w:hAnsi="Times New Roman" w:cs="Times New Roman"/>
          <w:lang w:val="id-ID"/>
        </w:rPr>
        <w:t>akan di</w:t>
      </w:r>
      <w:r w:rsidRPr="00BE6EE7">
        <w:rPr>
          <w:rFonts w:ascii="Times New Roman" w:eastAsia="Times New Roman" w:hAnsi="Times New Roman" w:cs="Times New Roman"/>
          <w:color w:val="000000"/>
        </w:rPr>
        <w:t xml:space="preserve">analisis </w:t>
      </w:r>
      <w:r w:rsidRPr="00BE6EE7">
        <w:rPr>
          <w:rFonts w:ascii="Times New Roman" w:eastAsia="Times New Roman" w:hAnsi="Times New Roman" w:cs="Times New Roman"/>
          <w:color w:val="000000"/>
          <w:lang w:val="id-ID"/>
        </w:rPr>
        <w:t xml:space="preserve">dengan </w:t>
      </w:r>
      <w:r w:rsidRPr="00BE6EE7">
        <w:rPr>
          <w:rFonts w:ascii="Times New Roman" w:eastAsia="Times New Roman" w:hAnsi="Times New Roman" w:cs="Times New Roman"/>
          <w:i/>
          <w:lang w:val="id-ID"/>
        </w:rPr>
        <w:t xml:space="preserve">Intra Industry Trade </w:t>
      </w:r>
      <w:r w:rsidRPr="00BE6EE7">
        <w:rPr>
          <w:rFonts w:ascii="Times New Roman" w:eastAsia="Times New Roman" w:hAnsi="Times New Roman" w:cs="Times New Roman"/>
          <w:lang w:val="id-ID"/>
        </w:rPr>
        <w:t xml:space="preserve">(IIT), </w:t>
      </w:r>
      <w:r w:rsidRPr="00BE6EE7">
        <w:rPr>
          <w:rFonts w:ascii="Times New Roman" w:eastAsia="Times New Roman" w:hAnsi="Times New Roman" w:cs="Times New Roman"/>
          <w:i/>
          <w:lang w:val="id-ID"/>
        </w:rPr>
        <w:t xml:space="preserve">Revealed Comparative Advantage </w:t>
      </w:r>
      <w:r w:rsidRPr="00BE6EE7">
        <w:rPr>
          <w:rFonts w:ascii="Times New Roman" w:eastAsia="Times New Roman" w:hAnsi="Times New Roman" w:cs="Times New Roman"/>
          <w:lang w:val="id-ID"/>
        </w:rPr>
        <w:t xml:space="preserve">(RCA), dan </w:t>
      </w:r>
      <w:r w:rsidRPr="00BE6EE7">
        <w:rPr>
          <w:rFonts w:ascii="Times New Roman" w:eastAsia="Times New Roman" w:hAnsi="Times New Roman" w:cs="Times New Roman"/>
          <w:i/>
          <w:lang w:val="id-ID"/>
        </w:rPr>
        <w:t xml:space="preserve">Export Product Dynamic </w:t>
      </w:r>
      <w:r w:rsidRPr="00BE6EE7">
        <w:rPr>
          <w:rFonts w:ascii="Times New Roman" w:eastAsia="Times New Roman" w:hAnsi="Times New Roman" w:cs="Times New Roman"/>
          <w:lang w:val="id-ID"/>
        </w:rPr>
        <w:t>(EPD)</w:t>
      </w:r>
      <w:r w:rsidRPr="00BE6EE7">
        <w:rPr>
          <w:rFonts w:ascii="Times New Roman" w:eastAsia="Times New Roman" w:hAnsi="Times New Roman" w:cs="Times New Roman"/>
          <w:color w:val="000000"/>
        </w:rPr>
        <w:t>.</w:t>
      </w:r>
    </w:p>
    <w:p w:rsidR="00114880" w:rsidRPr="00BE6EE7" w:rsidRDefault="00114880" w:rsidP="00CB146D">
      <w:pPr>
        <w:spacing w:after="0" w:line="240" w:lineRule="auto"/>
        <w:ind w:firstLine="567"/>
        <w:jc w:val="both"/>
        <w:rPr>
          <w:rFonts w:ascii="Times New Roman" w:eastAsia="Times New Roman" w:hAnsi="Times New Roman" w:cs="Times New Roman"/>
        </w:rPr>
      </w:pPr>
    </w:p>
    <w:p w:rsidR="00E42EF9" w:rsidRPr="00C71134" w:rsidRDefault="00E42EF9" w:rsidP="00CB146D">
      <w:pPr>
        <w:spacing w:after="0" w:line="240" w:lineRule="auto"/>
        <w:jc w:val="both"/>
        <w:rPr>
          <w:rFonts w:ascii="Times New Roman" w:eastAsia="Times New Roman" w:hAnsi="Times New Roman" w:cs="Times New Roman"/>
          <w:b/>
        </w:rPr>
      </w:pPr>
      <w:r w:rsidRPr="00C71134">
        <w:rPr>
          <w:rFonts w:ascii="Times New Roman" w:eastAsia="Times New Roman" w:hAnsi="Times New Roman" w:cs="Times New Roman"/>
          <w:b/>
          <w:i/>
        </w:rPr>
        <w:t xml:space="preserve">Intra Industry Trade </w:t>
      </w:r>
      <w:r w:rsidRPr="00C71134">
        <w:rPr>
          <w:rFonts w:ascii="Times New Roman" w:eastAsia="Times New Roman" w:hAnsi="Times New Roman" w:cs="Times New Roman"/>
          <w:b/>
        </w:rPr>
        <w:t>(IIT)</w:t>
      </w:r>
    </w:p>
    <w:p w:rsidR="00E42EF9" w:rsidRPr="00BE6EE7" w:rsidRDefault="00E42EF9" w:rsidP="00CB146D">
      <w:pPr>
        <w:spacing w:after="0" w:line="240" w:lineRule="auto"/>
        <w:ind w:firstLine="567"/>
        <w:jc w:val="both"/>
        <w:rPr>
          <w:rFonts w:ascii="Times New Roman" w:eastAsia="Times New Roman" w:hAnsi="Times New Roman" w:cs="Times New Roman"/>
        </w:rPr>
      </w:pPr>
      <w:r w:rsidRPr="00BE6EE7">
        <w:rPr>
          <w:rFonts w:ascii="Times New Roman" w:eastAsia="Times New Roman" w:hAnsi="Times New Roman" w:cs="Times New Roman"/>
        </w:rPr>
        <w:t xml:space="preserve">Analisis IIT digunakan untuk menganalisis integrasi perdagangan suatu komoditas antara negara eksportir dengan negara importir. Pada penelitian ini yang dianalisis adalah integrasi antara perdagangan komoditas tembakau Indonesia dengan negara tujuan ekspor utama, yakni Belgia, Singapura, Republik Dominika, Sri Lanka, Jerman, Belanda, dan Amerika Serikat. </w:t>
      </w:r>
      <w:r w:rsidRPr="00BE6EE7">
        <w:rPr>
          <w:rFonts w:ascii="Times New Roman" w:eastAsia="Times New Roman" w:hAnsi="Times New Roman" w:cs="Times New Roman"/>
          <w:lang w:val="id-ID"/>
        </w:rPr>
        <w:t>Analisis</w:t>
      </w:r>
      <w:r w:rsidRPr="00BE6EE7">
        <w:rPr>
          <w:rFonts w:ascii="Times New Roman" w:eastAsia="Times New Roman" w:hAnsi="Times New Roman" w:cs="Times New Roman"/>
        </w:rPr>
        <w:t xml:space="preserve"> </w:t>
      </w:r>
      <w:r w:rsidRPr="00BE6EE7">
        <w:rPr>
          <w:rFonts w:ascii="Times New Roman" w:eastAsia="Times New Roman" w:hAnsi="Times New Roman" w:cs="Times New Roman"/>
          <w:lang w:val="id-ID"/>
        </w:rPr>
        <w:t xml:space="preserve">IIT </w:t>
      </w:r>
      <w:r w:rsidRPr="00BE6EE7">
        <w:rPr>
          <w:rFonts w:ascii="Times New Roman" w:eastAsia="Times New Roman" w:hAnsi="Times New Roman" w:cs="Times New Roman"/>
        </w:rPr>
        <w:t>dapat dirumuskan sebagai berikut :</w:t>
      </w:r>
    </w:p>
    <w:p w:rsidR="00E42EF9" w:rsidRPr="00BE6EE7" w:rsidRDefault="00E42EF9" w:rsidP="00CB146D">
      <w:pPr>
        <w:tabs>
          <w:tab w:val="center" w:pos="3969"/>
        </w:tabs>
        <w:spacing w:after="0" w:line="240" w:lineRule="auto"/>
        <w:jc w:val="both"/>
        <w:rPr>
          <w:rFonts w:ascii="Times New Roman" w:eastAsia="Calibri" w:hAnsi="Times New Roman" w:cs="Times New Roman"/>
        </w:rPr>
      </w:pPr>
      <m:oMathPara>
        <m:oMath>
          <m:r>
            <m:rPr>
              <m:nor/>
            </m:rPr>
            <w:rPr>
              <w:rFonts w:ascii="Times New Roman" w:hAnsi="Times New Roman" w:cs="Times New Roman"/>
            </w:rPr>
            <m:t xml:space="preserve">IITjk= </m:t>
          </m:r>
          <m:d>
            <m:dPr>
              <m:ctrlPr>
                <w:rPr>
                  <w:rFonts w:ascii="Cambria Math" w:hAnsi="Cambria Math" w:cs="Times New Roman"/>
                  <w:i/>
                  <w:lang w:val="id-ID"/>
                </w:rPr>
              </m:ctrlPr>
            </m:dPr>
            <m:e>
              <m:r>
                <w:rPr>
                  <w:rFonts w:ascii="Cambria Math" w:hAnsi="Cambria Math" w:cs="Times New Roman"/>
                </w:rPr>
                <m:t>1-</m:t>
              </m:r>
              <m:f>
                <m:fPr>
                  <m:type m:val="noBar"/>
                  <m:ctrlPr>
                    <w:rPr>
                      <w:rFonts w:ascii="Cambria Math" w:hAnsi="Cambria Math" w:cs="Times New Roman"/>
                      <w:i/>
                      <w:lang w:val="id-ID"/>
                    </w:rPr>
                  </m:ctrlPr>
                </m:fPr>
                <m:num>
                  <m:bar>
                    <m:barPr>
                      <m:ctrlPr>
                        <w:rPr>
                          <w:rFonts w:ascii="Cambria Math" w:hAnsi="Cambria Math" w:cs="Times New Roman"/>
                          <w:i/>
                          <w:lang w:val="id-ID"/>
                        </w:rPr>
                      </m:ctrlPr>
                    </m:barPr>
                    <m:e>
                      <m:r>
                        <m:rPr>
                          <m:nor/>
                        </m:rPr>
                        <w:rPr>
                          <w:rFonts w:ascii="Times New Roman" w:hAnsi="Times New Roman" w:cs="Times New Roman"/>
                        </w:rPr>
                        <m:t>|Xjk- Mjk|</m:t>
                      </m:r>
                    </m:e>
                  </m:bar>
                </m:num>
                <m:den>
                  <m:r>
                    <m:rPr>
                      <m:nor/>
                    </m:rPr>
                    <w:rPr>
                      <w:rFonts w:ascii="Times New Roman" w:hAnsi="Times New Roman" w:cs="Times New Roman"/>
                    </w:rPr>
                    <m:t>Xjk+Mjk</m:t>
                  </m:r>
                </m:den>
              </m:f>
            </m:e>
          </m:d>
          <m:r>
            <m:rPr>
              <m:nor/>
            </m:rPr>
            <w:rPr>
              <w:rFonts w:ascii="Times New Roman" w:hAnsi="Times New Roman" w:cs="Times New Roman"/>
            </w:rPr>
            <m:t xml:space="preserve"> x 100</m:t>
          </m:r>
        </m:oMath>
      </m:oMathPara>
    </w:p>
    <w:p w:rsidR="00E42EF9" w:rsidRDefault="00E42EF9" w:rsidP="00CB146D">
      <w:pPr>
        <w:spacing w:after="0" w:line="240" w:lineRule="auto"/>
        <w:jc w:val="both"/>
        <w:rPr>
          <w:rFonts w:ascii="Times New Roman" w:eastAsia="Times New Roman" w:hAnsi="Times New Roman" w:cs="Times New Roman"/>
        </w:rPr>
      </w:pPr>
      <w:r w:rsidRPr="00BE6EE7">
        <w:rPr>
          <w:rFonts w:ascii="Times New Roman" w:eastAsia="Times New Roman" w:hAnsi="Times New Roman" w:cs="Times New Roman"/>
        </w:rPr>
        <w:t>Keterangan :</w:t>
      </w:r>
    </w:p>
    <w:tbl>
      <w:tblPr>
        <w:tblStyle w:val="TableGrid"/>
        <w:tblW w:w="8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280"/>
        <w:gridCol w:w="7146"/>
      </w:tblGrid>
      <w:tr w:rsidR="00BB217A" w:rsidTr="00D301C2">
        <w:trPr>
          <w:trHeight w:val="174"/>
        </w:trPr>
        <w:tc>
          <w:tcPr>
            <w:tcW w:w="587" w:type="dxa"/>
            <w:vAlign w:val="center"/>
          </w:tcPr>
          <w:p w:rsidR="00BB217A" w:rsidRDefault="00BB217A" w:rsidP="00D301C2">
            <w:pPr>
              <w:rPr>
                <w:rFonts w:ascii="Times New Roman" w:eastAsia="Times New Roman" w:hAnsi="Times New Roman" w:cs="Times New Roman"/>
              </w:rPr>
            </w:pPr>
            <w:r>
              <w:rPr>
                <w:rFonts w:ascii="Times New Roman" w:eastAsia="Times New Roman" w:hAnsi="Times New Roman" w:cs="Times New Roman"/>
              </w:rPr>
              <w:t>Xjk</w:t>
            </w:r>
          </w:p>
        </w:tc>
        <w:tc>
          <w:tcPr>
            <w:tcW w:w="280" w:type="dxa"/>
            <w:vAlign w:val="center"/>
          </w:tcPr>
          <w:p w:rsidR="00BB217A" w:rsidRDefault="00BB217A" w:rsidP="00D301C2">
            <w:pPr>
              <w:rPr>
                <w:rFonts w:ascii="Times New Roman" w:eastAsia="Times New Roman" w:hAnsi="Times New Roman" w:cs="Times New Roman"/>
              </w:rPr>
            </w:pPr>
            <w:r>
              <w:rPr>
                <w:rFonts w:ascii="Times New Roman" w:eastAsia="Times New Roman" w:hAnsi="Times New Roman" w:cs="Times New Roman"/>
              </w:rPr>
              <w:t>:</w:t>
            </w:r>
          </w:p>
        </w:tc>
        <w:tc>
          <w:tcPr>
            <w:tcW w:w="7146" w:type="dxa"/>
            <w:vAlign w:val="center"/>
          </w:tcPr>
          <w:p w:rsidR="00BB217A" w:rsidRDefault="00BB217A" w:rsidP="00D301C2">
            <w:pPr>
              <w:jc w:val="both"/>
              <w:rPr>
                <w:rFonts w:ascii="Times New Roman" w:eastAsia="Times New Roman" w:hAnsi="Times New Roman" w:cs="Times New Roman"/>
              </w:rPr>
            </w:pPr>
            <w:r w:rsidRPr="00BE6EE7">
              <w:rPr>
                <w:rFonts w:ascii="Times New Roman" w:eastAsia="Times New Roman" w:hAnsi="Times New Roman" w:cs="Times New Roman"/>
              </w:rPr>
              <w:t xml:space="preserve">Nilai ekspor komoditas tembakau </w:t>
            </w:r>
            <w:r>
              <w:rPr>
                <w:rFonts w:ascii="Times New Roman" w:eastAsia="Times New Roman" w:hAnsi="Times New Roman" w:cs="Times New Roman"/>
              </w:rPr>
              <w:t xml:space="preserve">dari Indonesia ke negara tujuan </w:t>
            </w:r>
            <w:r w:rsidRPr="00BE6EE7">
              <w:rPr>
                <w:rFonts w:ascii="Times New Roman" w:eastAsia="Times New Roman" w:hAnsi="Times New Roman" w:cs="Times New Roman"/>
              </w:rPr>
              <w:t>utama (US$)</w:t>
            </w:r>
          </w:p>
        </w:tc>
      </w:tr>
      <w:tr w:rsidR="00BB217A" w:rsidTr="00D301C2">
        <w:trPr>
          <w:trHeight w:val="205"/>
        </w:trPr>
        <w:tc>
          <w:tcPr>
            <w:tcW w:w="587" w:type="dxa"/>
            <w:vAlign w:val="center"/>
          </w:tcPr>
          <w:p w:rsidR="00BB217A" w:rsidRDefault="00BB217A" w:rsidP="00D301C2">
            <w:pPr>
              <w:rPr>
                <w:rFonts w:ascii="Times New Roman" w:eastAsia="Times New Roman" w:hAnsi="Times New Roman" w:cs="Times New Roman"/>
              </w:rPr>
            </w:pPr>
            <w:r>
              <w:rPr>
                <w:rFonts w:ascii="Times New Roman" w:eastAsia="Times New Roman" w:hAnsi="Times New Roman" w:cs="Times New Roman"/>
              </w:rPr>
              <w:t>Mjk</w:t>
            </w:r>
          </w:p>
        </w:tc>
        <w:tc>
          <w:tcPr>
            <w:tcW w:w="280" w:type="dxa"/>
            <w:vAlign w:val="center"/>
          </w:tcPr>
          <w:p w:rsidR="00BB217A" w:rsidRDefault="00BB217A" w:rsidP="00D301C2">
            <w:pPr>
              <w:rPr>
                <w:rFonts w:ascii="Times New Roman" w:eastAsia="Times New Roman" w:hAnsi="Times New Roman" w:cs="Times New Roman"/>
              </w:rPr>
            </w:pPr>
            <w:r>
              <w:rPr>
                <w:rFonts w:ascii="Times New Roman" w:eastAsia="Times New Roman" w:hAnsi="Times New Roman" w:cs="Times New Roman"/>
              </w:rPr>
              <w:t>:</w:t>
            </w:r>
          </w:p>
        </w:tc>
        <w:tc>
          <w:tcPr>
            <w:tcW w:w="7146" w:type="dxa"/>
            <w:vAlign w:val="center"/>
          </w:tcPr>
          <w:p w:rsidR="00BB217A" w:rsidRDefault="007D3F83" w:rsidP="00D301C2">
            <w:pPr>
              <w:jc w:val="both"/>
              <w:rPr>
                <w:rFonts w:ascii="Times New Roman" w:eastAsia="Times New Roman" w:hAnsi="Times New Roman" w:cs="Times New Roman"/>
              </w:rPr>
            </w:pPr>
            <w:r w:rsidRPr="00BE6EE7">
              <w:rPr>
                <w:rFonts w:ascii="Times New Roman" w:eastAsia="Times New Roman" w:hAnsi="Times New Roman" w:cs="Times New Roman"/>
              </w:rPr>
              <w:t xml:space="preserve">Nilai impor komoditas tembakau </w:t>
            </w:r>
            <w:r>
              <w:rPr>
                <w:rFonts w:ascii="Times New Roman" w:eastAsia="Times New Roman" w:hAnsi="Times New Roman" w:cs="Times New Roman"/>
              </w:rPr>
              <w:t xml:space="preserve">ke Indonesia dari negara tujuan </w:t>
            </w:r>
            <w:r w:rsidRPr="00BE6EE7">
              <w:rPr>
                <w:rFonts w:ascii="Times New Roman" w:eastAsia="Times New Roman" w:hAnsi="Times New Roman" w:cs="Times New Roman"/>
              </w:rPr>
              <w:t>utama (US$)</w:t>
            </w:r>
          </w:p>
        </w:tc>
      </w:tr>
    </w:tbl>
    <w:p w:rsidR="00E42EF9" w:rsidRPr="00BE6EE7" w:rsidRDefault="00E42EF9" w:rsidP="00CB146D">
      <w:pPr>
        <w:spacing w:after="0" w:line="240" w:lineRule="auto"/>
        <w:jc w:val="both"/>
        <w:rPr>
          <w:rFonts w:ascii="Times New Roman" w:eastAsia="Times New Roman" w:hAnsi="Times New Roman" w:cs="Times New Roman"/>
        </w:rPr>
      </w:pPr>
      <w:r w:rsidRPr="00BE6EE7">
        <w:rPr>
          <w:rFonts w:ascii="Times New Roman" w:eastAsia="Times New Roman" w:hAnsi="Times New Roman" w:cs="Times New Roman"/>
        </w:rPr>
        <w:t>Hasil perhitungan akan menunjukkan hasil yang dapat disimpulkan sebagai berikut :</w:t>
      </w:r>
    </w:p>
    <w:p w:rsidR="00A345C2" w:rsidRPr="00BE6EE7" w:rsidRDefault="00E42EF9" w:rsidP="00CB146D">
      <w:pPr>
        <w:numPr>
          <w:ilvl w:val="0"/>
          <w:numId w:val="8"/>
        </w:numPr>
        <w:spacing w:after="0" w:line="240" w:lineRule="auto"/>
        <w:ind w:left="284" w:hanging="284"/>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 xml:space="preserve">0.00, maka tidak terdapat integrasi perdagangan antara Indonesia dengan negara tujuan </w:t>
      </w:r>
    </w:p>
    <w:p w:rsidR="00E42EF9" w:rsidRPr="00BE6EE7" w:rsidRDefault="00E42EF9" w:rsidP="00CB146D">
      <w:pPr>
        <w:numPr>
          <w:ilvl w:val="0"/>
          <w:numId w:val="8"/>
        </w:numPr>
        <w:spacing w:after="0" w:line="240" w:lineRule="auto"/>
        <w:ind w:left="284" w:hanging="284"/>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&gt; 0.00 – 24,99, maka integrasi yang terjadi antara Indonesia d</w:t>
      </w:r>
      <w:r w:rsidR="00A345C2" w:rsidRPr="00BE6EE7">
        <w:rPr>
          <w:rFonts w:ascii="Times New Roman" w:eastAsia="Times New Roman" w:hAnsi="Times New Roman" w:cs="Times New Roman"/>
          <w:color w:val="000000"/>
        </w:rPr>
        <w:t>engan negara tujuan utama lemah.</w:t>
      </w:r>
    </w:p>
    <w:p w:rsidR="00E42EF9" w:rsidRPr="00BE6EE7" w:rsidRDefault="00E42EF9" w:rsidP="00CB146D">
      <w:pPr>
        <w:numPr>
          <w:ilvl w:val="0"/>
          <w:numId w:val="8"/>
        </w:numPr>
        <w:spacing w:after="0" w:line="240" w:lineRule="auto"/>
        <w:ind w:left="284" w:hanging="284"/>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25.00 – 49.99, maka integrasi perdagangan antara Indonesia dengan negara tujuan utama sedang.</w:t>
      </w:r>
    </w:p>
    <w:p w:rsidR="00E42EF9" w:rsidRPr="00BE6EE7" w:rsidRDefault="00E42EF9" w:rsidP="00CB146D">
      <w:pPr>
        <w:numPr>
          <w:ilvl w:val="0"/>
          <w:numId w:val="8"/>
        </w:numPr>
        <w:spacing w:after="0" w:line="240" w:lineRule="auto"/>
        <w:ind w:left="284" w:hanging="284"/>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50.00 – 74.99, maka integrasi perdagangan yang terjadi antara Indonesia dengan negara tujuan utama kuat.</w:t>
      </w:r>
    </w:p>
    <w:p w:rsidR="00E42EF9" w:rsidRPr="00BE6EE7" w:rsidRDefault="00E42EF9" w:rsidP="00CB146D">
      <w:pPr>
        <w:numPr>
          <w:ilvl w:val="0"/>
          <w:numId w:val="8"/>
        </w:numPr>
        <w:spacing w:after="0" w:line="240" w:lineRule="auto"/>
        <w:ind w:left="284" w:hanging="284"/>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 xml:space="preserve">75.00 – 99.99, maka integrasi perdagangan yang terjadi antara Indonesia dengan </w:t>
      </w:r>
      <w:r w:rsidR="00A345C2" w:rsidRPr="00BE6EE7">
        <w:rPr>
          <w:rFonts w:ascii="Times New Roman" w:eastAsia="Times New Roman" w:hAnsi="Times New Roman" w:cs="Times New Roman"/>
          <w:color w:val="000000"/>
        </w:rPr>
        <w:t>negara tujuan utama sangat kuat</w:t>
      </w:r>
      <w:r w:rsidR="00A345C2" w:rsidRPr="00BE6EE7">
        <w:rPr>
          <w:rFonts w:ascii="Times New Roman" w:eastAsia="Times New Roman" w:hAnsi="Times New Roman" w:cs="Times New Roman"/>
          <w:color w:val="000000"/>
          <w:lang w:val="id-ID"/>
        </w:rPr>
        <w:t>.</w:t>
      </w:r>
    </w:p>
    <w:p w:rsidR="00B566AD" w:rsidRPr="00C71134" w:rsidRDefault="00E42EF9" w:rsidP="00DB3F50">
      <w:pPr>
        <w:numPr>
          <w:ilvl w:val="0"/>
          <w:numId w:val="8"/>
        </w:numPr>
        <w:spacing w:after="0" w:line="240" w:lineRule="auto"/>
        <w:ind w:left="284" w:hanging="284"/>
        <w:jc w:val="both"/>
        <w:rPr>
          <w:rFonts w:ascii="Times New Roman" w:eastAsia="Times New Roman" w:hAnsi="Times New Roman" w:cs="Times New Roman"/>
        </w:rPr>
      </w:pPr>
      <w:r w:rsidRPr="00BE6EE7">
        <w:rPr>
          <w:rFonts w:ascii="Times New Roman" w:eastAsia="Times New Roman" w:hAnsi="Times New Roman" w:cs="Times New Roman"/>
          <w:color w:val="000000"/>
        </w:rPr>
        <w:t xml:space="preserve">100, maka integrasi perdagangan yang terjadi antara Indonesia </w:t>
      </w:r>
      <w:r w:rsidR="00A345C2" w:rsidRPr="00BE6EE7">
        <w:rPr>
          <w:rFonts w:ascii="Times New Roman" w:eastAsia="Times New Roman" w:hAnsi="Times New Roman" w:cs="Times New Roman"/>
          <w:color w:val="000000"/>
        </w:rPr>
        <w:t>dengan negara tujuan utama</w:t>
      </w:r>
      <w:r w:rsidRPr="00BE6EE7">
        <w:rPr>
          <w:rFonts w:ascii="Times New Roman" w:eastAsia="Times New Roman" w:hAnsi="Times New Roman" w:cs="Times New Roman"/>
          <w:color w:val="000000"/>
        </w:rPr>
        <w:t xml:space="preserve"> ter</w:t>
      </w:r>
      <w:r w:rsidR="00A345C2" w:rsidRPr="00BE6EE7">
        <w:rPr>
          <w:rFonts w:ascii="Times New Roman" w:eastAsia="Times New Roman" w:hAnsi="Times New Roman" w:cs="Times New Roman"/>
          <w:color w:val="000000"/>
        </w:rPr>
        <w:t>jadi perdagangan intra industry.</w:t>
      </w:r>
    </w:p>
    <w:p w:rsidR="00C71134" w:rsidRPr="00DB3F50" w:rsidRDefault="00C71134" w:rsidP="00C71134">
      <w:pPr>
        <w:spacing w:after="0" w:line="240" w:lineRule="auto"/>
        <w:ind w:left="284"/>
        <w:jc w:val="both"/>
        <w:rPr>
          <w:rFonts w:ascii="Times New Roman" w:eastAsia="Times New Roman" w:hAnsi="Times New Roman" w:cs="Times New Roman"/>
        </w:rPr>
      </w:pPr>
    </w:p>
    <w:p w:rsidR="00E42EF9" w:rsidRPr="00BE6EE7" w:rsidRDefault="00E42EF9" w:rsidP="00CB146D">
      <w:pPr>
        <w:spacing w:after="0" w:line="240" w:lineRule="auto"/>
        <w:jc w:val="both"/>
        <w:rPr>
          <w:rFonts w:ascii="Times New Roman" w:eastAsia="Times New Roman" w:hAnsi="Times New Roman" w:cs="Times New Roman"/>
          <w:b/>
        </w:rPr>
      </w:pPr>
      <w:r w:rsidRPr="00BE6EE7">
        <w:rPr>
          <w:rFonts w:ascii="Times New Roman" w:eastAsia="Times New Roman" w:hAnsi="Times New Roman" w:cs="Times New Roman"/>
          <w:b/>
          <w:i/>
        </w:rPr>
        <w:lastRenderedPageBreak/>
        <w:t xml:space="preserve">Revealed Comparative Advantage </w:t>
      </w:r>
      <w:r w:rsidRPr="00BE6EE7">
        <w:rPr>
          <w:rFonts w:ascii="Times New Roman" w:eastAsia="Times New Roman" w:hAnsi="Times New Roman" w:cs="Times New Roman"/>
          <w:b/>
        </w:rPr>
        <w:t>(RCA)</w:t>
      </w:r>
    </w:p>
    <w:p w:rsidR="00E42EF9" w:rsidRPr="00BE6EE7" w:rsidRDefault="00E42EF9" w:rsidP="00CB146D">
      <w:pPr>
        <w:spacing w:after="0" w:line="240" w:lineRule="auto"/>
        <w:ind w:firstLine="567"/>
        <w:jc w:val="both"/>
        <w:rPr>
          <w:rFonts w:ascii="Times New Roman" w:eastAsia="Times New Roman" w:hAnsi="Times New Roman" w:cs="Times New Roman"/>
        </w:rPr>
      </w:pPr>
      <w:r w:rsidRPr="00BE6EE7">
        <w:rPr>
          <w:rFonts w:ascii="Times New Roman" w:eastAsia="Times New Roman" w:hAnsi="Times New Roman" w:cs="Times New Roman"/>
        </w:rPr>
        <w:t>Analisis RCA digunakan untuk menganalisis tingkat keunggulan komparatif dari suatu komoditas pada suatu negara yang dilakukan pada tahun tertentu. Pada penelitian ini, RCA akan digunakan untuk menganalisis keunggulan komparatif komoditas tembakau Indonesia di negara tujuan ekspor utama. Perhitungan RCA dapat dirumuskan sebagai berikut :</w:t>
      </w:r>
    </w:p>
    <w:p w:rsidR="00E42EF9" w:rsidRPr="00BE6EE7" w:rsidRDefault="00E42EF9" w:rsidP="00CB146D">
      <w:pPr>
        <w:spacing w:after="0" w:line="240" w:lineRule="auto"/>
        <w:jc w:val="center"/>
        <w:rPr>
          <w:rFonts w:ascii="Times New Roman" w:eastAsia="Times New Roman" w:hAnsi="Times New Roman" w:cs="Times New Roman"/>
        </w:rPr>
      </w:pPr>
      <w:r w:rsidRPr="00BE6EE7">
        <w:rPr>
          <w:rFonts w:ascii="Times New Roman" w:eastAsia="Times New Roman" w:hAnsi="Times New Roman" w:cs="Times New Roman"/>
        </w:rPr>
        <w:t xml:space="preserve">RCA = </w:t>
      </w:r>
      <m:oMath>
        <m:f>
          <m:fPr>
            <m:ctrlPr>
              <w:rPr>
                <w:rFonts w:ascii="Cambria Math" w:eastAsia="Cambria Math" w:hAnsi="Cambria Math" w:cs="Times New Roman"/>
                <w:lang w:val="id-ID"/>
              </w:rPr>
            </m:ctrlPr>
          </m:fPr>
          <m:num>
            <m:r>
              <w:rPr>
                <w:rFonts w:ascii="Cambria Math" w:eastAsia="Cambria Math" w:hAnsi="Cambria Math" w:cs="Times New Roman"/>
              </w:rPr>
              <m:t>Xi / Xt</m:t>
            </m:r>
          </m:num>
          <m:den>
            <m:r>
              <w:rPr>
                <w:rFonts w:ascii="Cambria Math" w:eastAsia="Cambria Math" w:hAnsi="Cambria Math" w:cs="Times New Roman"/>
              </w:rPr>
              <m:t>Wi /Wt</m:t>
            </m:r>
          </m:den>
        </m:f>
      </m:oMath>
    </w:p>
    <w:p w:rsidR="00E42EF9" w:rsidRDefault="00E42EF9" w:rsidP="00CB146D">
      <w:pPr>
        <w:spacing w:after="0" w:line="240" w:lineRule="auto"/>
        <w:jc w:val="both"/>
        <w:rPr>
          <w:rFonts w:ascii="Times New Roman" w:eastAsia="Times New Roman" w:hAnsi="Times New Roman" w:cs="Times New Roman"/>
        </w:rPr>
      </w:pPr>
      <w:r w:rsidRPr="00BE6EE7">
        <w:rPr>
          <w:rFonts w:ascii="Times New Roman" w:eastAsia="Times New Roman" w:hAnsi="Times New Roman" w:cs="Times New Roman"/>
        </w:rPr>
        <w:t xml:space="preserve">Di mana, </w:t>
      </w:r>
    </w:p>
    <w:tbl>
      <w:tblPr>
        <w:tblStyle w:val="TableGrid"/>
        <w:tblW w:w="8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80"/>
        <w:gridCol w:w="7160"/>
      </w:tblGrid>
      <w:tr w:rsidR="00B566AD" w:rsidTr="00D301C2">
        <w:trPr>
          <w:trHeight w:val="293"/>
        </w:trPr>
        <w:tc>
          <w:tcPr>
            <w:tcW w:w="572" w:type="dxa"/>
            <w:vAlign w:val="center"/>
          </w:tcPr>
          <w:p w:rsidR="00B566AD" w:rsidRDefault="00B566AD" w:rsidP="00D301C2">
            <w:pPr>
              <w:rPr>
                <w:rFonts w:ascii="Times New Roman" w:eastAsia="Times New Roman" w:hAnsi="Times New Roman" w:cs="Times New Roman"/>
              </w:rPr>
            </w:pPr>
            <w:r>
              <w:rPr>
                <w:rFonts w:ascii="Times New Roman" w:eastAsia="Times New Roman" w:hAnsi="Times New Roman" w:cs="Times New Roman"/>
              </w:rPr>
              <w:t>Xi</w:t>
            </w:r>
          </w:p>
        </w:tc>
        <w:tc>
          <w:tcPr>
            <w:tcW w:w="280" w:type="dxa"/>
            <w:vAlign w:val="center"/>
          </w:tcPr>
          <w:p w:rsidR="00B566AD" w:rsidRDefault="00B566AD" w:rsidP="00D301C2">
            <w:pPr>
              <w:rPr>
                <w:rFonts w:ascii="Times New Roman" w:eastAsia="Times New Roman" w:hAnsi="Times New Roman" w:cs="Times New Roman"/>
              </w:rPr>
            </w:pPr>
            <w:r>
              <w:rPr>
                <w:rFonts w:ascii="Times New Roman" w:eastAsia="Times New Roman" w:hAnsi="Times New Roman" w:cs="Times New Roman"/>
              </w:rPr>
              <w:t>:</w:t>
            </w:r>
          </w:p>
        </w:tc>
        <w:tc>
          <w:tcPr>
            <w:tcW w:w="7160" w:type="dxa"/>
            <w:vAlign w:val="center"/>
          </w:tcPr>
          <w:p w:rsidR="00B566AD" w:rsidRDefault="00B566AD" w:rsidP="00D301C2">
            <w:pPr>
              <w:jc w:val="both"/>
              <w:rPr>
                <w:rFonts w:ascii="Times New Roman" w:eastAsia="Times New Roman" w:hAnsi="Times New Roman" w:cs="Times New Roman"/>
              </w:rPr>
            </w:pPr>
            <w:r w:rsidRPr="00BE6EE7">
              <w:rPr>
                <w:rFonts w:ascii="Times New Roman" w:eastAsia="Times New Roman" w:hAnsi="Times New Roman" w:cs="Times New Roman"/>
              </w:rPr>
              <w:t>Nilai ekspor tembakau Indonesia ke negara tujuan utama (US$)</w:t>
            </w:r>
          </w:p>
        </w:tc>
      </w:tr>
      <w:tr w:rsidR="00B566AD" w:rsidTr="00D301C2">
        <w:trPr>
          <w:trHeight w:val="284"/>
        </w:trPr>
        <w:tc>
          <w:tcPr>
            <w:tcW w:w="572" w:type="dxa"/>
            <w:vAlign w:val="center"/>
          </w:tcPr>
          <w:p w:rsidR="00B566AD" w:rsidRDefault="00B566AD" w:rsidP="00D301C2">
            <w:pPr>
              <w:rPr>
                <w:rFonts w:ascii="Times New Roman" w:eastAsia="Times New Roman" w:hAnsi="Times New Roman" w:cs="Times New Roman"/>
              </w:rPr>
            </w:pPr>
            <w:r>
              <w:rPr>
                <w:rFonts w:ascii="Times New Roman" w:eastAsia="Times New Roman" w:hAnsi="Times New Roman" w:cs="Times New Roman"/>
              </w:rPr>
              <w:t>Xt</w:t>
            </w:r>
          </w:p>
        </w:tc>
        <w:tc>
          <w:tcPr>
            <w:tcW w:w="280" w:type="dxa"/>
            <w:vAlign w:val="center"/>
          </w:tcPr>
          <w:p w:rsidR="00B566AD" w:rsidRDefault="00B566AD" w:rsidP="00D301C2">
            <w:pPr>
              <w:rPr>
                <w:rFonts w:ascii="Times New Roman" w:eastAsia="Times New Roman" w:hAnsi="Times New Roman" w:cs="Times New Roman"/>
              </w:rPr>
            </w:pPr>
            <w:r>
              <w:rPr>
                <w:rFonts w:ascii="Times New Roman" w:eastAsia="Times New Roman" w:hAnsi="Times New Roman" w:cs="Times New Roman"/>
              </w:rPr>
              <w:t>:</w:t>
            </w:r>
          </w:p>
        </w:tc>
        <w:tc>
          <w:tcPr>
            <w:tcW w:w="7160" w:type="dxa"/>
            <w:vAlign w:val="center"/>
          </w:tcPr>
          <w:p w:rsidR="00B566AD" w:rsidRDefault="00B566AD" w:rsidP="00D301C2">
            <w:pPr>
              <w:jc w:val="both"/>
              <w:rPr>
                <w:rFonts w:ascii="Times New Roman" w:eastAsia="Times New Roman" w:hAnsi="Times New Roman" w:cs="Times New Roman"/>
              </w:rPr>
            </w:pPr>
            <w:r w:rsidRPr="00BE6EE7">
              <w:rPr>
                <w:rFonts w:ascii="Times New Roman" w:eastAsia="Times New Roman" w:hAnsi="Times New Roman" w:cs="Times New Roman"/>
              </w:rPr>
              <w:t>Nilai total ekspor Indonesia ke negara tujuan utama (US$)</w:t>
            </w:r>
          </w:p>
        </w:tc>
      </w:tr>
      <w:tr w:rsidR="00B566AD" w:rsidTr="00D301C2">
        <w:trPr>
          <w:trHeight w:val="210"/>
        </w:trPr>
        <w:tc>
          <w:tcPr>
            <w:tcW w:w="572" w:type="dxa"/>
            <w:vAlign w:val="center"/>
          </w:tcPr>
          <w:p w:rsidR="00B566AD" w:rsidRDefault="00B566AD" w:rsidP="00D301C2">
            <w:pPr>
              <w:rPr>
                <w:rFonts w:ascii="Times New Roman" w:eastAsia="Times New Roman" w:hAnsi="Times New Roman" w:cs="Times New Roman"/>
              </w:rPr>
            </w:pPr>
            <w:r>
              <w:rPr>
                <w:rFonts w:ascii="Times New Roman" w:eastAsia="Times New Roman" w:hAnsi="Times New Roman" w:cs="Times New Roman"/>
              </w:rPr>
              <w:t>Wi</w:t>
            </w:r>
          </w:p>
        </w:tc>
        <w:tc>
          <w:tcPr>
            <w:tcW w:w="280" w:type="dxa"/>
            <w:vAlign w:val="center"/>
          </w:tcPr>
          <w:p w:rsidR="00B566AD" w:rsidRDefault="00B566AD" w:rsidP="00D301C2">
            <w:pPr>
              <w:rPr>
                <w:rFonts w:ascii="Times New Roman" w:eastAsia="Times New Roman" w:hAnsi="Times New Roman" w:cs="Times New Roman"/>
              </w:rPr>
            </w:pPr>
            <w:r>
              <w:rPr>
                <w:rFonts w:ascii="Times New Roman" w:eastAsia="Times New Roman" w:hAnsi="Times New Roman" w:cs="Times New Roman"/>
              </w:rPr>
              <w:t>:</w:t>
            </w:r>
          </w:p>
        </w:tc>
        <w:tc>
          <w:tcPr>
            <w:tcW w:w="7160" w:type="dxa"/>
            <w:vAlign w:val="center"/>
          </w:tcPr>
          <w:p w:rsidR="00B566AD" w:rsidRDefault="00BA2D58" w:rsidP="00D301C2">
            <w:pPr>
              <w:jc w:val="both"/>
              <w:rPr>
                <w:rFonts w:ascii="Times New Roman" w:eastAsia="Times New Roman" w:hAnsi="Times New Roman" w:cs="Times New Roman"/>
              </w:rPr>
            </w:pPr>
            <w:r w:rsidRPr="00BE6EE7">
              <w:rPr>
                <w:rFonts w:ascii="Times New Roman" w:eastAsia="Times New Roman" w:hAnsi="Times New Roman" w:cs="Times New Roman"/>
              </w:rPr>
              <w:t>Nilai ekspor tembakau dunia ke negara tujuan utama (US$)</w:t>
            </w:r>
          </w:p>
        </w:tc>
      </w:tr>
      <w:tr w:rsidR="00B566AD" w:rsidTr="00D301C2">
        <w:trPr>
          <w:trHeight w:val="210"/>
        </w:trPr>
        <w:tc>
          <w:tcPr>
            <w:tcW w:w="572" w:type="dxa"/>
            <w:vAlign w:val="center"/>
          </w:tcPr>
          <w:p w:rsidR="00B566AD" w:rsidRDefault="00B566AD" w:rsidP="00D301C2">
            <w:pPr>
              <w:rPr>
                <w:rFonts w:ascii="Times New Roman" w:eastAsia="Times New Roman" w:hAnsi="Times New Roman" w:cs="Times New Roman"/>
              </w:rPr>
            </w:pPr>
            <w:r>
              <w:rPr>
                <w:rFonts w:ascii="Times New Roman" w:eastAsia="Times New Roman" w:hAnsi="Times New Roman" w:cs="Times New Roman"/>
              </w:rPr>
              <w:t>Wt</w:t>
            </w:r>
          </w:p>
        </w:tc>
        <w:tc>
          <w:tcPr>
            <w:tcW w:w="280" w:type="dxa"/>
            <w:vAlign w:val="center"/>
          </w:tcPr>
          <w:p w:rsidR="00B566AD" w:rsidRDefault="00B566AD" w:rsidP="00D301C2">
            <w:pPr>
              <w:rPr>
                <w:rFonts w:ascii="Times New Roman" w:eastAsia="Times New Roman" w:hAnsi="Times New Roman" w:cs="Times New Roman"/>
              </w:rPr>
            </w:pPr>
            <w:r>
              <w:rPr>
                <w:rFonts w:ascii="Times New Roman" w:eastAsia="Times New Roman" w:hAnsi="Times New Roman" w:cs="Times New Roman"/>
              </w:rPr>
              <w:t>:</w:t>
            </w:r>
          </w:p>
        </w:tc>
        <w:tc>
          <w:tcPr>
            <w:tcW w:w="7160" w:type="dxa"/>
            <w:vAlign w:val="center"/>
          </w:tcPr>
          <w:p w:rsidR="00B566AD" w:rsidRDefault="00BA2D58" w:rsidP="00D301C2">
            <w:pPr>
              <w:jc w:val="both"/>
              <w:rPr>
                <w:rFonts w:ascii="Times New Roman" w:eastAsia="Times New Roman" w:hAnsi="Times New Roman" w:cs="Times New Roman"/>
              </w:rPr>
            </w:pPr>
            <w:r w:rsidRPr="00BE6EE7">
              <w:rPr>
                <w:rFonts w:ascii="Times New Roman" w:eastAsia="Times New Roman" w:hAnsi="Times New Roman" w:cs="Times New Roman"/>
              </w:rPr>
              <w:t>Nilai total ekspor dunia ke negara tujuan utama (US$)</w:t>
            </w:r>
          </w:p>
        </w:tc>
      </w:tr>
    </w:tbl>
    <w:p w:rsidR="00E42EF9" w:rsidRPr="00BE6EE7" w:rsidRDefault="00E42EF9" w:rsidP="00CB146D">
      <w:pPr>
        <w:spacing w:after="0" w:line="240" w:lineRule="auto"/>
        <w:ind w:firstLine="567"/>
        <w:jc w:val="both"/>
        <w:rPr>
          <w:rFonts w:ascii="Times New Roman" w:eastAsia="Times New Roman" w:hAnsi="Times New Roman" w:cs="Times New Roman"/>
        </w:rPr>
      </w:pPr>
      <w:r w:rsidRPr="00BE6EE7">
        <w:rPr>
          <w:rFonts w:ascii="Times New Roman" w:eastAsia="Times New Roman" w:hAnsi="Times New Roman" w:cs="Times New Roman"/>
        </w:rPr>
        <w:t>Hasil dari perhitungan RCA akan menunjukkan hasil yang kemudian dapat disimpulkan sebagai berikut :</w:t>
      </w:r>
    </w:p>
    <w:p w:rsidR="00E42EF9" w:rsidRPr="00BE6EE7" w:rsidRDefault="00E42EF9" w:rsidP="00CB146D">
      <w:pPr>
        <w:numPr>
          <w:ilvl w:val="0"/>
          <w:numId w:val="8"/>
        </w:numPr>
        <w:spacing w:after="0" w:line="240" w:lineRule="auto"/>
        <w:ind w:left="284" w:hanging="284"/>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RCA &lt; 1, maka daya saing atau keunggulan komparatif dari komoditas tembakau Indonesia di negara tujuan utama lemah.</w:t>
      </w:r>
    </w:p>
    <w:p w:rsidR="00E42EF9" w:rsidRPr="00BE6EE7" w:rsidRDefault="00E42EF9" w:rsidP="00CB146D">
      <w:pPr>
        <w:numPr>
          <w:ilvl w:val="0"/>
          <w:numId w:val="8"/>
        </w:numPr>
        <w:spacing w:after="0" w:line="240" w:lineRule="auto"/>
        <w:ind w:left="284" w:hanging="284"/>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 xml:space="preserve">RCA </w:t>
      </w:r>
      <w:r w:rsidRPr="00BE6EE7">
        <w:rPr>
          <w:rFonts w:ascii="Times New Roman" w:eastAsia="Times New Roman" w:hAnsi="Times New Roman" w:cs="Times New Roman"/>
          <w:color w:val="000000"/>
          <w:u w:val="single"/>
        </w:rPr>
        <w:t>&gt;</w:t>
      </w:r>
      <w:r w:rsidRPr="00BE6EE7">
        <w:rPr>
          <w:rFonts w:ascii="Times New Roman" w:eastAsia="Times New Roman" w:hAnsi="Times New Roman" w:cs="Times New Roman"/>
          <w:color w:val="000000"/>
        </w:rPr>
        <w:t xml:space="preserve"> 1, maka daya saing atau keunggulan komparatif dari komoditas tembakau Indonesia di negara tujuan utama kuat.</w:t>
      </w:r>
    </w:p>
    <w:p w:rsidR="00E42EF9" w:rsidRPr="00BE6EE7" w:rsidRDefault="00E42EF9" w:rsidP="00CB146D">
      <w:pPr>
        <w:spacing w:after="0" w:line="240" w:lineRule="auto"/>
        <w:jc w:val="both"/>
        <w:rPr>
          <w:rFonts w:ascii="Times New Roman" w:eastAsia="Times New Roman" w:hAnsi="Times New Roman" w:cs="Times New Roman"/>
          <w:b/>
        </w:rPr>
      </w:pPr>
    </w:p>
    <w:p w:rsidR="00E42EF9" w:rsidRPr="00BE6EE7" w:rsidRDefault="00E42EF9" w:rsidP="00CB146D">
      <w:pPr>
        <w:spacing w:after="0" w:line="240" w:lineRule="auto"/>
        <w:jc w:val="both"/>
        <w:rPr>
          <w:rFonts w:ascii="Times New Roman" w:eastAsia="Times New Roman" w:hAnsi="Times New Roman" w:cs="Times New Roman"/>
          <w:b/>
        </w:rPr>
      </w:pPr>
      <w:r w:rsidRPr="00BE6EE7">
        <w:rPr>
          <w:rFonts w:ascii="Times New Roman" w:eastAsia="Times New Roman" w:hAnsi="Times New Roman" w:cs="Times New Roman"/>
          <w:b/>
          <w:i/>
        </w:rPr>
        <w:t xml:space="preserve">Export Product Dynamic </w:t>
      </w:r>
      <w:r w:rsidRPr="00BE6EE7">
        <w:rPr>
          <w:rFonts w:ascii="Times New Roman" w:eastAsia="Times New Roman" w:hAnsi="Times New Roman" w:cs="Times New Roman"/>
          <w:b/>
        </w:rPr>
        <w:t>(EPD)</w:t>
      </w:r>
    </w:p>
    <w:p w:rsidR="00E42EF9" w:rsidRPr="00BE6EE7" w:rsidRDefault="00A345C2" w:rsidP="00CB146D">
      <w:pPr>
        <w:spacing w:after="0" w:line="240" w:lineRule="auto"/>
        <w:ind w:firstLine="567"/>
        <w:jc w:val="both"/>
        <w:rPr>
          <w:rFonts w:ascii="Times New Roman" w:eastAsia="Times New Roman" w:hAnsi="Times New Roman" w:cs="Times New Roman"/>
          <w:vertAlign w:val="subscript"/>
        </w:rPr>
      </w:pPr>
      <w:r w:rsidRPr="00BE6EE7">
        <w:rPr>
          <w:rFonts w:ascii="Times New Roman" w:eastAsia="Times New Roman" w:hAnsi="Times New Roman" w:cs="Times New Roman"/>
          <w:lang w:val="id-ID"/>
        </w:rPr>
        <w:t>A</w:t>
      </w:r>
      <w:r w:rsidR="00E42EF9" w:rsidRPr="00BE6EE7">
        <w:rPr>
          <w:rFonts w:ascii="Times New Roman" w:eastAsia="Times New Roman" w:hAnsi="Times New Roman" w:cs="Times New Roman"/>
        </w:rPr>
        <w:t xml:space="preserve">nalisis EPD digunakan untuk menganalisis kedinamisan daya saing dari suatu komoditas pada suatu negara. Pada penelitian ini EPD digunakan untuk meneliti tingkat kedinamisan daya saing dari komoditas tembakau di negara tujuan utama. Perhitungan EPD dapat dilakukan dengan menggunakan rumus sebagai berikut : </w:t>
      </w:r>
    </w:p>
    <w:p w:rsidR="00E42EF9" w:rsidRPr="00BE6EE7" w:rsidRDefault="00E42EF9" w:rsidP="00CB146D">
      <w:pPr>
        <w:spacing w:after="0" w:line="240" w:lineRule="auto"/>
        <w:jc w:val="center"/>
        <w:rPr>
          <w:rFonts w:ascii="Times New Roman" w:eastAsia="Calibri" w:hAnsi="Times New Roman" w:cs="Times New Roman"/>
        </w:rPr>
      </w:pPr>
      <m:oMathPara>
        <m:oMath>
          <m:r>
            <m:rPr>
              <m:nor/>
            </m:rPr>
            <w:rPr>
              <w:rFonts w:ascii="Times New Roman" w:hAnsi="Times New Roman" w:cs="Times New Roman"/>
            </w:rPr>
            <m:t xml:space="preserve">Sumbu X= </m:t>
          </m:r>
          <m:f>
            <m:fPr>
              <m:ctrlPr>
                <w:rPr>
                  <w:rFonts w:ascii="Cambria Math" w:hAnsi="Cambria Math" w:cs="Times New Roman"/>
                  <w:lang w:val="id-ID"/>
                </w:rPr>
              </m:ctrlPr>
            </m:fPr>
            <m:num>
              <m:r>
                <m:rPr>
                  <m:nor/>
                </m:rPr>
                <w:rPr>
                  <w:rFonts w:ascii="Times New Roman" w:hAnsi="Times New Roman" w:cs="Times New Roman"/>
                </w:rPr>
                <m:t>∑</m:t>
              </m:r>
              <m:sSub>
                <m:sSubPr>
                  <m:ctrlPr>
                    <w:rPr>
                      <w:rFonts w:ascii="Cambria Math" w:hAnsi="Cambria Math" w:cs="Times New Roman"/>
                      <w:lang w:val="id-ID"/>
                    </w:rPr>
                  </m:ctrlPr>
                </m:sSubPr>
                <m:e>
                  <m:d>
                    <m:dPr>
                      <m:ctrlPr>
                        <w:rPr>
                          <w:rFonts w:ascii="Cambria Math" w:hAnsi="Cambria Math" w:cs="Times New Roman"/>
                          <w:lang w:val="id-ID"/>
                        </w:rPr>
                      </m:ctrlPr>
                    </m:dPr>
                    <m:e>
                      <m:f>
                        <m:fPr>
                          <m:ctrlPr>
                            <w:rPr>
                              <w:rFonts w:ascii="Cambria Math" w:hAnsi="Cambria Math" w:cs="Times New Roman"/>
                              <w:lang w:val="id-ID"/>
                            </w:rPr>
                          </m:ctrlPr>
                        </m:fPr>
                        <m:num>
                          <m:r>
                            <m:rPr>
                              <m:sty m:val="p"/>
                            </m:rPr>
                            <w:rPr>
                              <w:rFonts w:ascii="Cambria Math" w:eastAsia="Times New Roman" w:hAnsi="Cambria Math" w:cs="Times New Roman"/>
                            </w:rPr>
                            <m:t>X</m:t>
                          </m:r>
                          <m:r>
                            <m:rPr>
                              <m:sty m:val="p"/>
                            </m:rPr>
                            <w:rPr>
                              <w:rFonts w:ascii="Cambria Math" w:eastAsia="Times New Roman" w:hAnsi="Cambria Math" w:cs="Times New Roman"/>
                              <w:vertAlign w:val="subscript"/>
                            </w:rPr>
                            <m:t>ij</m:t>
                          </m:r>
                        </m:num>
                        <m:den>
                          <m:r>
                            <m:rPr>
                              <m:sty m:val="p"/>
                            </m:rPr>
                            <w:rPr>
                              <w:rFonts w:ascii="Cambria Math" w:eastAsia="Times New Roman" w:hAnsi="Cambria Math" w:cs="Times New Roman"/>
                            </w:rPr>
                            <m:t>W</m:t>
                          </m:r>
                          <m:r>
                            <m:rPr>
                              <m:sty m:val="p"/>
                            </m:rPr>
                            <w:rPr>
                              <w:rFonts w:ascii="Cambria Math" w:eastAsia="Times New Roman" w:hAnsi="Cambria Math" w:cs="Times New Roman"/>
                              <w:vertAlign w:val="subscript"/>
                            </w:rPr>
                            <m:t>ij</m:t>
                          </m:r>
                        </m:den>
                      </m:f>
                      <m:r>
                        <m:rPr>
                          <m:sty m:val="p"/>
                        </m:rPr>
                        <w:rPr>
                          <w:rFonts w:ascii="Cambria Math" w:hAnsi="Cambria Math" w:cs="Times New Roman"/>
                        </w:rPr>
                        <m:t xml:space="preserve"> </m:t>
                      </m:r>
                    </m:e>
                  </m:d>
                </m:e>
                <m:sub>
                  <m:r>
                    <m:rPr>
                      <m:sty m:val="p"/>
                    </m:rPr>
                    <w:rPr>
                      <w:rFonts w:ascii="Cambria Math" w:hAnsi="Cambria Math" w:cs="Times New Roman"/>
                      <w:vertAlign w:val="subscript"/>
                    </w:rPr>
                    <m:t>t</m:t>
                  </m:r>
                </m:sub>
              </m:sSub>
              <m:r>
                <m:rPr>
                  <m:nor/>
                </m:rPr>
                <w:rPr>
                  <w:rFonts w:ascii="Times New Roman" w:hAnsi="Times New Roman" w:cs="Times New Roman"/>
                </w:rPr>
                <m:t xml:space="preserve"> x 100%-∑</m:t>
              </m:r>
              <m:sSub>
                <m:sSubPr>
                  <m:ctrlPr>
                    <w:rPr>
                      <w:rFonts w:ascii="Cambria Math" w:hAnsi="Cambria Math" w:cs="Times New Roman"/>
                      <w:lang w:val="id-ID"/>
                    </w:rPr>
                  </m:ctrlPr>
                </m:sSubPr>
                <m:e>
                  <m:d>
                    <m:dPr>
                      <m:ctrlPr>
                        <w:rPr>
                          <w:rFonts w:ascii="Cambria Math" w:hAnsi="Cambria Math" w:cs="Times New Roman"/>
                          <w:lang w:val="id-ID"/>
                        </w:rPr>
                      </m:ctrlPr>
                    </m:dPr>
                    <m:e>
                      <m:f>
                        <m:fPr>
                          <m:ctrlPr>
                            <w:rPr>
                              <w:rFonts w:ascii="Cambria Math" w:hAnsi="Cambria Math" w:cs="Times New Roman"/>
                              <w:lang w:val="id-ID"/>
                            </w:rPr>
                          </m:ctrlPr>
                        </m:fPr>
                        <m:num>
                          <m:r>
                            <m:rPr>
                              <m:sty m:val="p"/>
                            </m:rPr>
                            <w:rPr>
                              <w:rFonts w:ascii="Cambria Math" w:eastAsia="Times New Roman" w:hAnsi="Cambria Math" w:cs="Times New Roman"/>
                            </w:rPr>
                            <m:t>X</m:t>
                          </m:r>
                          <m:r>
                            <m:rPr>
                              <m:sty m:val="p"/>
                            </m:rPr>
                            <w:rPr>
                              <w:rFonts w:ascii="Cambria Math" w:eastAsia="Times New Roman" w:hAnsi="Cambria Math" w:cs="Times New Roman"/>
                              <w:vertAlign w:val="subscript"/>
                            </w:rPr>
                            <m:t>ij</m:t>
                          </m:r>
                        </m:num>
                        <m:den>
                          <m:r>
                            <m:rPr>
                              <m:sty m:val="p"/>
                            </m:rPr>
                            <w:rPr>
                              <w:rFonts w:ascii="Cambria Math" w:eastAsia="Times New Roman" w:hAnsi="Cambria Math" w:cs="Times New Roman"/>
                            </w:rPr>
                            <m:t>W</m:t>
                          </m:r>
                          <m:r>
                            <m:rPr>
                              <m:sty m:val="p"/>
                            </m:rPr>
                            <w:rPr>
                              <w:rFonts w:ascii="Cambria Math" w:eastAsia="Times New Roman" w:hAnsi="Cambria Math" w:cs="Times New Roman"/>
                              <w:vertAlign w:val="subscript"/>
                            </w:rPr>
                            <m:t>ij</m:t>
                          </m:r>
                        </m:den>
                      </m:f>
                      <m:r>
                        <m:rPr>
                          <m:sty m:val="p"/>
                        </m:rPr>
                        <w:rPr>
                          <w:rFonts w:ascii="Cambria Math" w:hAnsi="Cambria Math" w:cs="Times New Roman"/>
                        </w:rPr>
                        <m:t xml:space="preserve"> </m:t>
                      </m:r>
                    </m:e>
                  </m:d>
                </m:e>
                <m:sub>
                  <m:r>
                    <m:rPr>
                      <m:sty m:val="p"/>
                    </m:rPr>
                    <w:rPr>
                      <w:rFonts w:ascii="Cambria Math" w:hAnsi="Cambria Math" w:cs="Times New Roman"/>
                    </w:rPr>
                    <m:t>t-1</m:t>
                  </m:r>
                </m:sub>
              </m:sSub>
              <m:r>
                <m:rPr>
                  <m:nor/>
                </m:rPr>
                <w:rPr>
                  <w:rFonts w:ascii="Times New Roman" w:hAnsi="Times New Roman" w:cs="Times New Roman"/>
                </w:rPr>
                <m:t xml:space="preserve"> x 100%</m:t>
              </m:r>
            </m:num>
            <m:den>
              <m:r>
                <m:rPr>
                  <m:nor/>
                </m:rPr>
                <w:rPr>
                  <w:rFonts w:ascii="Times New Roman" w:hAnsi="Times New Roman" w:cs="Times New Roman"/>
                </w:rPr>
                <m:t>T</m:t>
              </m:r>
            </m:den>
          </m:f>
        </m:oMath>
      </m:oMathPara>
    </w:p>
    <w:p w:rsidR="00E42EF9" w:rsidRPr="00BE6EE7" w:rsidRDefault="00E42EF9" w:rsidP="00CB146D">
      <w:pPr>
        <w:spacing w:after="0" w:line="240" w:lineRule="auto"/>
        <w:jc w:val="center"/>
        <w:rPr>
          <w:rFonts w:ascii="Times New Roman" w:hAnsi="Times New Roman" w:cs="Times New Roman"/>
        </w:rPr>
      </w:pPr>
      <m:oMathPara>
        <m:oMath>
          <m:r>
            <m:rPr>
              <m:nor/>
            </m:rPr>
            <w:rPr>
              <w:rFonts w:ascii="Times New Roman" w:hAnsi="Times New Roman" w:cs="Times New Roman"/>
            </w:rPr>
            <m:t xml:space="preserve">Sumbu Y= </m:t>
          </m:r>
          <m:f>
            <m:fPr>
              <m:ctrlPr>
                <w:rPr>
                  <w:rFonts w:ascii="Cambria Math" w:hAnsi="Cambria Math" w:cs="Times New Roman"/>
                  <w:lang w:val="id-ID"/>
                </w:rPr>
              </m:ctrlPr>
            </m:fPr>
            <m:num>
              <m:r>
                <m:rPr>
                  <m:nor/>
                </m:rPr>
                <w:rPr>
                  <w:rFonts w:ascii="Times New Roman" w:hAnsi="Times New Roman" w:cs="Times New Roman"/>
                </w:rPr>
                <m:t>∑</m:t>
              </m:r>
              <m:sSub>
                <m:sSubPr>
                  <m:ctrlPr>
                    <w:rPr>
                      <w:rFonts w:ascii="Cambria Math" w:hAnsi="Cambria Math" w:cs="Times New Roman"/>
                      <w:lang w:val="id-ID"/>
                    </w:rPr>
                  </m:ctrlPr>
                </m:sSubPr>
                <m:e>
                  <m:d>
                    <m:dPr>
                      <m:ctrlPr>
                        <w:rPr>
                          <w:rFonts w:ascii="Cambria Math" w:hAnsi="Cambria Math" w:cs="Times New Roman"/>
                          <w:lang w:val="id-ID"/>
                        </w:rPr>
                      </m:ctrlPr>
                    </m:dPr>
                    <m:e>
                      <m:r>
                        <w:rPr>
                          <w:rFonts w:ascii="Cambria Math" w:hAnsi="Cambria Math" w:cs="Times New Roman"/>
                        </w:rPr>
                        <m:t xml:space="preserve"> </m:t>
                      </m:r>
                      <m:f>
                        <m:fPr>
                          <m:ctrlPr>
                            <w:rPr>
                              <w:rFonts w:ascii="Cambria Math" w:hAnsi="Cambria Math" w:cs="Times New Roman"/>
                              <w:lang w:val="id-ID"/>
                            </w:rPr>
                          </m:ctrlPr>
                        </m:fPr>
                        <m:num>
                          <m:r>
                            <m:rPr>
                              <m:nor/>
                            </m:rPr>
                            <w:rPr>
                              <w:rFonts w:ascii="Times New Roman" w:hAnsi="Times New Roman" w:cs="Times New Roman"/>
                            </w:rPr>
                            <m:t>Xt</m:t>
                          </m:r>
                        </m:num>
                        <m:den>
                          <m:r>
                            <m:rPr>
                              <m:nor/>
                            </m:rPr>
                            <w:rPr>
                              <w:rFonts w:ascii="Times New Roman" w:hAnsi="Times New Roman" w:cs="Times New Roman"/>
                            </w:rPr>
                            <m:t>Wt</m:t>
                          </m:r>
                        </m:den>
                      </m:f>
                      <m:r>
                        <w:rPr>
                          <w:rFonts w:ascii="Cambria Math" w:hAnsi="Cambria Math" w:cs="Times New Roman"/>
                        </w:rPr>
                        <m:t xml:space="preserve"> </m:t>
                      </m:r>
                    </m:e>
                  </m:d>
                </m:e>
                <m:sub>
                  <m:r>
                    <w:rPr>
                      <w:rFonts w:ascii="Cambria Math" w:hAnsi="Cambria Math" w:cs="Times New Roman"/>
                    </w:rPr>
                    <m:t>t</m:t>
                  </m:r>
                </m:sub>
              </m:sSub>
              <m:r>
                <m:rPr>
                  <m:nor/>
                </m:rPr>
                <w:rPr>
                  <w:rFonts w:ascii="Times New Roman" w:hAnsi="Times New Roman" w:cs="Times New Roman"/>
                </w:rPr>
                <m:t xml:space="preserve"> x 100%- ∑</m:t>
              </m:r>
              <m:sSub>
                <m:sSubPr>
                  <m:ctrlPr>
                    <w:rPr>
                      <w:rFonts w:ascii="Cambria Math" w:hAnsi="Cambria Math" w:cs="Times New Roman"/>
                      <w:lang w:val="id-ID"/>
                    </w:rPr>
                  </m:ctrlPr>
                </m:sSubPr>
                <m:e>
                  <m:d>
                    <m:dPr>
                      <m:ctrlPr>
                        <w:rPr>
                          <w:rFonts w:ascii="Cambria Math" w:hAnsi="Cambria Math" w:cs="Times New Roman"/>
                          <w:lang w:val="id-ID"/>
                        </w:rPr>
                      </m:ctrlPr>
                    </m:dPr>
                    <m:e>
                      <m:r>
                        <w:rPr>
                          <w:rFonts w:ascii="Cambria Math" w:hAnsi="Cambria Math" w:cs="Times New Roman"/>
                        </w:rPr>
                        <m:t xml:space="preserve"> </m:t>
                      </m:r>
                      <m:f>
                        <m:fPr>
                          <m:ctrlPr>
                            <w:rPr>
                              <w:rFonts w:ascii="Cambria Math" w:hAnsi="Cambria Math" w:cs="Times New Roman"/>
                              <w:lang w:val="id-ID"/>
                            </w:rPr>
                          </m:ctrlPr>
                        </m:fPr>
                        <m:num>
                          <m:r>
                            <m:rPr>
                              <m:nor/>
                            </m:rPr>
                            <w:rPr>
                              <w:rFonts w:ascii="Times New Roman" w:hAnsi="Times New Roman" w:cs="Times New Roman"/>
                            </w:rPr>
                            <m:t>Xt</m:t>
                          </m:r>
                        </m:num>
                        <m:den>
                          <m:r>
                            <m:rPr>
                              <m:nor/>
                            </m:rPr>
                            <w:rPr>
                              <w:rFonts w:ascii="Times New Roman" w:hAnsi="Times New Roman" w:cs="Times New Roman"/>
                            </w:rPr>
                            <m:t>Wt</m:t>
                          </m:r>
                        </m:den>
                      </m:f>
                      <m:r>
                        <w:rPr>
                          <w:rFonts w:ascii="Cambria Math" w:hAnsi="Cambria Math" w:cs="Times New Roman"/>
                        </w:rPr>
                        <m:t xml:space="preserve"> </m:t>
                      </m:r>
                    </m:e>
                  </m:d>
                </m:e>
                <m:sub>
                  <m:r>
                    <w:rPr>
                      <w:rFonts w:ascii="Cambria Math" w:hAnsi="Cambria Math" w:cs="Times New Roman"/>
                    </w:rPr>
                    <m:t>t-1</m:t>
                  </m:r>
                </m:sub>
              </m:sSub>
              <m:r>
                <m:rPr>
                  <m:nor/>
                </m:rPr>
                <w:rPr>
                  <w:rFonts w:ascii="Times New Roman" w:hAnsi="Times New Roman" w:cs="Times New Roman"/>
                </w:rPr>
                <m:t xml:space="preserve"> x 100%</m:t>
              </m:r>
            </m:num>
            <m:den>
              <m:r>
                <m:rPr>
                  <m:nor/>
                </m:rPr>
                <w:rPr>
                  <w:rFonts w:ascii="Times New Roman" w:hAnsi="Times New Roman" w:cs="Times New Roman"/>
                </w:rPr>
                <m:t>T</m:t>
              </m:r>
            </m:den>
          </m:f>
        </m:oMath>
      </m:oMathPara>
    </w:p>
    <w:p w:rsidR="00E42EF9" w:rsidRDefault="00E42EF9" w:rsidP="00CB146D">
      <w:pPr>
        <w:spacing w:after="0" w:line="240" w:lineRule="auto"/>
        <w:jc w:val="both"/>
        <w:rPr>
          <w:rFonts w:ascii="Times New Roman" w:eastAsia="Times New Roman" w:hAnsi="Times New Roman" w:cs="Times New Roman"/>
        </w:rPr>
      </w:pPr>
      <w:r w:rsidRPr="00BE6EE7">
        <w:rPr>
          <w:rFonts w:ascii="Times New Roman" w:eastAsia="Times New Roman" w:hAnsi="Times New Roman" w:cs="Times New Roman"/>
        </w:rPr>
        <w:t>Di mana,</w:t>
      </w: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84"/>
        <w:gridCol w:w="7087"/>
      </w:tblGrid>
      <w:tr w:rsidR="00BA2D58" w:rsidTr="00D301C2">
        <w:tc>
          <w:tcPr>
            <w:tcW w:w="567" w:type="dxa"/>
            <w:vAlign w:val="center"/>
          </w:tcPr>
          <w:p w:rsidR="00BA2D58" w:rsidRDefault="00BA2D58" w:rsidP="00CB146D">
            <w:pPr>
              <w:rPr>
                <w:rFonts w:ascii="Times New Roman" w:eastAsia="Times New Roman" w:hAnsi="Times New Roman" w:cs="Times New Roman"/>
              </w:rPr>
            </w:pPr>
            <w:r>
              <w:rPr>
                <w:rFonts w:ascii="Times New Roman" w:eastAsia="Times New Roman" w:hAnsi="Times New Roman" w:cs="Times New Roman"/>
              </w:rPr>
              <w:t>Xij</w:t>
            </w:r>
          </w:p>
        </w:tc>
        <w:tc>
          <w:tcPr>
            <w:tcW w:w="284" w:type="dxa"/>
            <w:vAlign w:val="center"/>
          </w:tcPr>
          <w:p w:rsidR="00BA2D58" w:rsidRDefault="00BA2D58" w:rsidP="00CB146D">
            <w:pPr>
              <w:jc w:val="center"/>
              <w:rPr>
                <w:rFonts w:ascii="Times New Roman" w:eastAsia="Times New Roman" w:hAnsi="Times New Roman" w:cs="Times New Roman"/>
              </w:rPr>
            </w:pPr>
            <w:r>
              <w:rPr>
                <w:rFonts w:ascii="Times New Roman" w:eastAsia="Times New Roman" w:hAnsi="Times New Roman" w:cs="Times New Roman"/>
              </w:rPr>
              <w:t>:</w:t>
            </w:r>
          </w:p>
        </w:tc>
        <w:tc>
          <w:tcPr>
            <w:tcW w:w="7087" w:type="dxa"/>
            <w:vAlign w:val="center"/>
          </w:tcPr>
          <w:p w:rsidR="00BA2D58" w:rsidRDefault="00BA2D58" w:rsidP="00CB146D">
            <w:pPr>
              <w:jc w:val="both"/>
              <w:rPr>
                <w:rFonts w:ascii="Times New Roman" w:eastAsia="Times New Roman" w:hAnsi="Times New Roman" w:cs="Times New Roman"/>
              </w:rPr>
            </w:pPr>
            <w:r>
              <w:rPr>
                <w:rFonts w:ascii="Times New Roman" w:eastAsia="Times New Roman" w:hAnsi="Times New Roman" w:cs="Times New Roman"/>
              </w:rPr>
              <w:t xml:space="preserve">Nilai ekspor komoditas </w:t>
            </w:r>
            <w:r w:rsidRPr="00BE6EE7">
              <w:rPr>
                <w:rFonts w:ascii="Times New Roman" w:eastAsia="Times New Roman" w:hAnsi="Times New Roman" w:cs="Times New Roman"/>
              </w:rPr>
              <w:t xml:space="preserve">tembakau </w:t>
            </w:r>
            <w:r>
              <w:rPr>
                <w:rFonts w:ascii="Times New Roman" w:eastAsia="Times New Roman" w:hAnsi="Times New Roman" w:cs="Times New Roman"/>
              </w:rPr>
              <w:t xml:space="preserve"> </w:t>
            </w:r>
            <w:r w:rsidRPr="00BE6EE7">
              <w:rPr>
                <w:rFonts w:ascii="Times New Roman" w:eastAsia="Times New Roman" w:hAnsi="Times New Roman" w:cs="Times New Roman"/>
              </w:rPr>
              <w:t>Indonesia ke negara tujuan utama (US$)</w:t>
            </w:r>
          </w:p>
        </w:tc>
      </w:tr>
      <w:tr w:rsidR="00BA2D58" w:rsidTr="00D301C2">
        <w:tc>
          <w:tcPr>
            <w:tcW w:w="567" w:type="dxa"/>
            <w:vAlign w:val="center"/>
          </w:tcPr>
          <w:p w:rsidR="00BA2D58" w:rsidRDefault="00BA2D58" w:rsidP="00CB146D">
            <w:pPr>
              <w:rPr>
                <w:rFonts w:ascii="Times New Roman" w:eastAsia="Times New Roman" w:hAnsi="Times New Roman" w:cs="Times New Roman"/>
              </w:rPr>
            </w:pPr>
            <w:r>
              <w:rPr>
                <w:rFonts w:ascii="Times New Roman" w:eastAsia="Times New Roman" w:hAnsi="Times New Roman" w:cs="Times New Roman"/>
              </w:rPr>
              <w:t>Wij</w:t>
            </w:r>
          </w:p>
        </w:tc>
        <w:tc>
          <w:tcPr>
            <w:tcW w:w="284" w:type="dxa"/>
            <w:vAlign w:val="center"/>
          </w:tcPr>
          <w:p w:rsidR="00BA2D58" w:rsidRDefault="00BA2D58" w:rsidP="00CB146D">
            <w:pPr>
              <w:jc w:val="center"/>
              <w:rPr>
                <w:rFonts w:ascii="Times New Roman" w:eastAsia="Times New Roman" w:hAnsi="Times New Roman" w:cs="Times New Roman"/>
              </w:rPr>
            </w:pPr>
            <w:r>
              <w:rPr>
                <w:rFonts w:ascii="Times New Roman" w:eastAsia="Times New Roman" w:hAnsi="Times New Roman" w:cs="Times New Roman"/>
              </w:rPr>
              <w:t>:</w:t>
            </w:r>
          </w:p>
        </w:tc>
        <w:tc>
          <w:tcPr>
            <w:tcW w:w="7087" w:type="dxa"/>
            <w:vAlign w:val="center"/>
          </w:tcPr>
          <w:p w:rsidR="00BA2D58" w:rsidRDefault="00BA2D58" w:rsidP="00CB146D">
            <w:pPr>
              <w:jc w:val="both"/>
              <w:rPr>
                <w:rFonts w:ascii="Times New Roman" w:eastAsia="Times New Roman" w:hAnsi="Times New Roman" w:cs="Times New Roman"/>
              </w:rPr>
            </w:pPr>
            <w:r w:rsidRPr="00BE6EE7">
              <w:rPr>
                <w:rFonts w:ascii="Times New Roman" w:eastAsia="Times New Roman" w:hAnsi="Times New Roman" w:cs="Times New Roman"/>
              </w:rPr>
              <w:t>Nilai ekspor komoditas tembakau dunia ke negara tujuan utama (US$)</w:t>
            </w:r>
          </w:p>
        </w:tc>
      </w:tr>
      <w:tr w:rsidR="00BA2D58" w:rsidTr="00D301C2">
        <w:tc>
          <w:tcPr>
            <w:tcW w:w="567" w:type="dxa"/>
            <w:vAlign w:val="center"/>
          </w:tcPr>
          <w:p w:rsidR="00BA2D58" w:rsidRDefault="00BA2D58" w:rsidP="00CB146D">
            <w:pPr>
              <w:rPr>
                <w:rFonts w:ascii="Times New Roman" w:eastAsia="Times New Roman" w:hAnsi="Times New Roman" w:cs="Times New Roman"/>
              </w:rPr>
            </w:pPr>
            <w:r>
              <w:rPr>
                <w:rFonts w:ascii="Times New Roman" w:eastAsia="Times New Roman" w:hAnsi="Times New Roman" w:cs="Times New Roman"/>
              </w:rPr>
              <w:t>Xt</w:t>
            </w:r>
          </w:p>
        </w:tc>
        <w:tc>
          <w:tcPr>
            <w:tcW w:w="284" w:type="dxa"/>
            <w:vAlign w:val="center"/>
          </w:tcPr>
          <w:p w:rsidR="00BA2D58" w:rsidRDefault="00BA2D58" w:rsidP="00CB146D">
            <w:pPr>
              <w:jc w:val="center"/>
              <w:rPr>
                <w:rFonts w:ascii="Times New Roman" w:eastAsia="Times New Roman" w:hAnsi="Times New Roman" w:cs="Times New Roman"/>
              </w:rPr>
            </w:pPr>
            <w:r>
              <w:rPr>
                <w:rFonts w:ascii="Times New Roman" w:eastAsia="Times New Roman" w:hAnsi="Times New Roman" w:cs="Times New Roman"/>
              </w:rPr>
              <w:t>:</w:t>
            </w:r>
          </w:p>
        </w:tc>
        <w:tc>
          <w:tcPr>
            <w:tcW w:w="7087" w:type="dxa"/>
            <w:vAlign w:val="center"/>
          </w:tcPr>
          <w:p w:rsidR="00BA2D58" w:rsidRDefault="00BA2D58" w:rsidP="00CB146D">
            <w:pPr>
              <w:jc w:val="both"/>
              <w:rPr>
                <w:rFonts w:ascii="Times New Roman" w:eastAsia="Times New Roman" w:hAnsi="Times New Roman" w:cs="Times New Roman"/>
              </w:rPr>
            </w:pPr>
            <w:r w:rsidRPr="00BE6EE7">
              <w:rPr>
                <w:rFonts w:ascii="Times New Roman" w:eastAsia="Times New Roman" w:hAnsi="Times New Roman" w:cs="Times New Roman"/>
              </w:rPr>
              <w:t>Nilai total ekspor Indonesia ke negara tujuan utama (US$)</w:t>
            </w:r>
          </w:p>
        </w:tc>
      </w:tr>
      <w:tr w:rsidR="00BA2D58" w:rsidTr="00D301C2">
        <w:tc>
          <w:tcPr>
            <w:tcW w:w="567" w:type="dxa"/>
            <w:vAlign w:val="center"/>
          </w:tcPr>
          <w:p w:rsidR="00BA2D58" w:rsidRDefault="00BA2D58" w:rsidP="00CB146D">
            <w:pPr>
              <w:rPr>
                <w:rFonts w:ascii="Times New Roman" w:eastAsia="Times New Roman" w:hAnsi="Times New Roman" w:cs="Times New Roman"/>
              </w:rPr>
            </w:pPr>
            <w:r>
              <w:rPr>
                <w:rFonts w:ascii="Times New Roman" w:eastAsia="Times New Roman" w:hAnsi="Times New Roman" w:cs="Times New Roman"/>
              </w:rPr>
              <w:t>Wt</w:t>
            </w:r>
          </w:p>
        </w:tc>
        <w:tc>
          <w:tcPr>
            <w:tcW w:w="284" w:type="dxa"/>
            <w:vAlign w:val="center"/>
          </w:tcPr>
          <w:p w:rsidR="00BA2D58" w:rsidRDefault="00BA2D58" w:rsidP="00CB146D">
            <w:pPr>
              <w:jc w:val="center"/>
              <w:rPr>
                <w:rFonts w:ascii="Times New Roman" w:eastAsia="Times New Roman" w:hAnsi="Times New Roman" w:cs="Times New Roman"/>
              </w:rPr>
            </w:pPr>
            <w:r>
              <w:rPr>
                <w:rFonts w:ascii="Times New Roman" w:eastAsia="Times New Roman" w:hAnsi="Times New Roman" w:cs="Times New Roman"/>
              </w:rPr>
              <w:t>:</w:t>
            </w:r>
          </w:p>
        </w:tc>
        <w:tc>
          <w:tcPr>
            <w:tcW w:w="7087" w:type="dxa"/>
            <w:vAlign w:val="center"/>
          </w:tcPr>
          <w:p w:rsidR="00BA2D58" w:rsidRDefault="00BA2D58" w:rsidP="00CB146D">
            <w:pPr>
              <w:jc w:val="both"/>
              <w:rPr>
                <w:rFonts w:ascii="Times New Roman" w:eastAsia="Times New Roman" w:hAnsi="Times New Roman" w:cs="Times New Roman"/>
              </w:rPr>
            </w:pPr>
            <w:r w:rsidRPr="00BE6EE7">
              <w:rPr>
                <w:rFonts w:ascii="Times New Roman" w:eastAsia="Times New Roman" w:hAnsi="Times New Roman" w:cs="Times New Roman"/>
              </w:rPr>
              <w:t>Nilai total ekspor dunia ke negara tujuan utama (US$)</w:t>
            </w:r>
          </w:p>
        </w:tc>
      </w:tr>
      <w:tr w:rsidR="00BA2D58" w:rsidTr="00D301C2">
        <w:tc>
          <w:tcPr>
            <w:tcW w:w="567" w:type="dxa"/>
            <w:vAlign w:val="center"/>
          </w:tcPr>
          <w:p w:rsidR="00BA2D58" w:rsidRDefault="00BA2D58" w:rsidP="00CB146D">
            <w:pPr>
              <w:rPr>
                <w:rFonts w:ascii="Times New Roman" w:eastAsia="Times New Roman" w:hAnsi="Times New Roman" w:cs="Times New Roman"/>
              </w:rPr>
            </w:pPr>
            <w:r>
              <w:rPr>
                <w:rFonts w:ascii="Times New Roman" w:eastAsia="Times New Roman" w:hAnsi="Times New Roman" w:cs="Times New Roman"/>
              </w:rPr>
              <w:t>t</w:t>
            </w:r>
          </w:p>
        </w:tc>
        <w:tc>
          <w:tcPr>
            <w:tcW w:w="284" w:type="dxa"/>
            <w:vAlign w:val="center"/>
          </w:tcPr>
          <w:p w:rsidR="00BA2D58" w:rsidRDefault="00D343C2" w:rsidP="00CB146D">
            <w:pPr>
              <w:jc w:val="center"/>
              <w:rPr>
                <w:rFonts w:ascii="Times New Roman" w:eastAsia="Times New Roman" w:hAnsi="Times New Roman" w:cs="Times New Roman"/>
              </w:rPr>
            </w:pPr>
            <w:r>
              <w:rPr>
                <w:rFonts w:ascii="Times New Roman" w:eastAsia="Times New Roman" w:hAnsi="Times New Roman" w:cs="Times New Roman"/>
              </w:rPr>
              <w:t>:</w:t>
            </w:r>
          </w:p>
        </w:tc>
        <w:tc>
          <w:tcPr>
            <w:tcW w:w="7087" w:type="dxa"/>
            <w:vAlign w:val="center"/>
          </w:tcPr>
          <w:p w:rsidR="00BA2D58" w:rsidRPr="00BE6EE7" w:rsidRDefault="00BA2D58" w:rsidP="00CB146D">
            <w:pPr>
              <w:jc w:val="both"/>
              <w:rPr>
                <w:rFonts w:ascii="Times New Roman" w:eastAsia="Times New Roman" w:hAnsi="Times New Roman" w:cs="Times New Roman"/>
              </w:rPr>
            </w:pPr>
            <w:r w:rsidRPr="00BE6EE7">
              <w:rPr>
                <w:rFonts w:ascii="Times New Roman" w:eastAsia="Times New Roman" w:hAnsi="Times New Roman" w:cs="Times New Roman"/>
              </w:rPr>
              <w:t>Bulan analisis</w:t>
            </w:r>
          </w:p>
        </w:tc>
      </w:tr>
      <w:tr w:rsidR="00BA2D58" w:rsidTr="00D301C2">
        <w:tc>
          <w:tcPr>
            <w:tcW w:w="567" w:type="dxa"/>
            <w:vAlign w:val="center"/>
          </w:tcPr>
          <w:p w:rsidR="00BA2D58" w:rsidRDefault="00BA2D58" w:rsidP="00CB146D">
            <w:pPr>
              <w:rPr>
                <w:rFonts w:ascii="Times New Roman" w:eastAsia="Times New Roman" w:hAnsi="Times New Roman" w:cs="Times New Roman"/>
              </w:rPr>
            </w:pPr>
            <w:r>
              <w:rPr>
                <w:rFonts w:ascii="Times New Roman" w:eastAsia="Times New Roman" w:hAnsi="Times New Roman" w:cs="Times New Roman"/>
              </w:rPr>
              <w:t>t-1</w:t>
            </w:r>
          </w:p>
        </w:tc>
        <w:tc>
          <w:tcPr>
            <w:tcW w:w="284" w:type="dxa"/>
            <w:vAlign w:val="center"/>
          </w:tcPr>
          <w:p w:rsidR="00BA2D58" w:rsidRDefault="00D343C2" w:rsidP="00CB146D">
            <w:pPr>
              <w:jc w:val="center"/>
              <w:rPr>
                <w:rFonts w:ascii="Times New Roman" w:eastAsia="Times New Roman" w:hAnsi="Times New Roman" w:cs="Times New Roman"/>
              </w:rPr>
            </w:pPr>
            <w:r>
              <w:rPr>
                <w:rFonts w:ascii="Times New Roman" w:eastAsia="Times New Roman" w:hAnsi="Times New Roman" w:cs="Times New Roman"/>
              </w:rPr>
              <w:t>:</w:t>
            </w:r>
          </w:p>
        </w:tc>
        <w:tc>
          <w:tcPr>
            <w:tcW w:w="7087" w:type="dxa"/>
            <w:vAlign w:val="center"/>
          </w:tcPr>
          <w:p w:rsidR="00BA2D58" w:rsidRPr="00BE6EE7" w:rsidRDefault="00BA2D58" w:rsidP="00CB146D">
            <w:pPr>
              <w:jc w:val="both"/>
              <w:rPr>
                <w:rFonts w:ascii="Times New Roman" w:eastAsia="Times New Roman" w:hAnsi="Times New Roman" w:cs="Times New Roman"/>
              </w:rPr>
            </w:pPr>
            <w:r w:rsidRPr="00BE6EE7">
              <w:rPr>
                <w:rFonts w:ascii="Times New Roman" w:eastAsia="Times New Roman" w:hAnsi="Times New Roman" w:cs="Times New Roman"/>
              </w:rPr>
              <w:t>Bulan sebelumnya</w:t>
            </w:r>
          </w:p>
        </w:tc>
      </w:tr>
      <w:tr w:rsidR="00BA2D58" w:rsidTr="00D301C2">
        <w:tc>
          <w:tcPr>
            <w:tcW w:w="567" w:type="dxa"/>
            <w:vAlign w:val="center"/>
          </w:tcPr>
          <w:p w:rsidR="00BA2D58" w:rsidRDefault="00BA2D58" w:rsidP="00CB146D">
            <w:pPr>
              <w:rPr>
                <w:rFonts w:ascii="Times New Roman" w:eastAsia="Times New Roman" w:hAnsi="Times New Roman" w:cs="Times New Roman"/>
              </w:rPr>
            </w:pPr>
            <w:r>
              <w:rPr>
                <w:rFonts w:ascii="Times New Roman" w:eastAsia="Times New Roman" w:hAnsi="Times New Roman" w:cs="Times New Roman"/>
              </w:rPr>
              <w:t>T</w:t>
            </w:r>
          </w:p>
        </w:tc>
        <w:tc>
          <w:tcPr>
            <w:tcW w:w="284" w:type="dxa"/>
            <w:vAlign w:val="center"/>
          </w:tcPr>
          <w:p w:rsidR="00BA2D58" w:rsidRDefault="00D343C2" w:rsidP="00CB146D">
            <w:pPr>
              <w:jc w:val="center"/>
              <w:rPr>
                <w:rFonts w:ascii="Times New Roman" w:eastAsia="Times New Roman" w:hAnsi="Times New Roman" w:cs="Times New Roman"/>
              </w:rPr>
            </w:pPr>
            <w:r>
              <w:rPr>
                <w:rFonts w:ascii="Times New Roman" w:eastAsia="Times New Roman" w:hAnsi="Times New Roman" w:cs="Times New Roman"/>
              </w:rPr>
              <w:t>:</w:t>
            </w:r>
          </w:p>
        </w:tc>
        <w:tc>
          <w:tcPr>
            <w:tcW w:w="7087" w:type="dxa"/>
            <w:vAlign w:val="center"/>
          </w:tcPr>
          <w:p w:rsidR="00BA2D58" w:rsidRPr="00BE6EE7" w:rsidRDefault="00BA2D58" w:rsidP="00CB146D">
            <w:pPr>
              <w:jc w:val="both"/>
              <w:rPr>
                <w:rFonts w:ascii="Times New Roman" w:eastAsia="Times New Roman" w:hAnsi="Times New Roman" w:cs="Times New Roman"/>
              </w:rPr>
            </w:pPr>
            <w:r w:rsidRPr="00BE6EE7">
              <w:rPr>
                <w:rFonts w:ascii="Times New Roman" w:eastAsia="Times New Roman" w:hAnsi="Times New Roman" w:cs="Times New Roman"/>
              </w:rPr>
              <w:t>Jumlah bulan yang dianalisis</w:t>
            </w:r>
          </w:p>
        </w:tc>
      </w:tr>
    </w:tbl>
    <w:p w:rsidR="00E42EF9" w:rsidRPr="00BE6EE7" w:rsidRDefault="00E42EF9" w:rsidP="00CB146D">
      <w:pPr>
        <w:spacing w:after="0" w:line="240" w:lineRule="auto"/>
        <w:ind w:firstLine="567"/>
        <w:jc w:val="both"/>
        <w:rPr>
          <w:rFonts w:ascii="Times New Roman" w:eastAsia="Times New Roman" w:hAnsi="Times New Roman" w:cs="Times New Roman"/>
        </w:rPr>
      </w:pPr>
      <w:r w:rsidRPr="00BE6EE7">
        <w:rPr>
          <w:rFonts w:ascii="Times New Roman" w:eastAsia="Times New Roman" w:hAnsi="Times New Roman" w:cs="Times New Roman"/>
        </w:rPr>
        <w:t xml:space="preserve">Hasil dari perhitungan EPD kemudian di </w:t>
      </w:r>
      <w:r w:rsidRPr="00BE6EE7">
        <w:rPr>
          <w:rFonts w:ascii="Times New Roman" w:eastAsia="Times New Roman" w:hAnsi="Times New Roman" w:cs="Times New Roman"/>
          <w:i/>
        </w:rPr>
        <w:t>insert</w:t>
      </w:r>
      <w:r w:rsidRPr="00BE6EE7">
        <w:rPr>
          <w:rFonts w:ascii="Times New Roman" w:eastAsia="Times New Roman" w:hAnsi="Times New Roman" w:cs="Times New Roman"/>
        </w:rPr>
        <w:t xml:space="preserve"> ke dalam matriks yang akan digunakan untuk menentukan posisi daya saing dari komoditas tersebut di negara tujuan. Kriteria dari matriks EPD adalah sebagai berikut :</w:t>
      </w:r>
    </w:p>
    <w:p w:rsidR="00E42EF9" w:rsidRPr="00BE6EE7" w:rsidRDefault="00E42EF9" w:rsidP="00CB146D">
      <w:pPr>
        <w:numPr>
          <w:ilvl w:val="0"/>
          <w:numId w:val="8"/>
        </w:numPr>
        <w:spacing w:after="0" w:line="240" w:lineRule="auto"/>
        <w:ind w:left="284" w:hanging="284"/>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 xml:space="preserve">Positif – positif, maka posisi pasar pada kondisi </w:t>
      </w:r>
      <w:r w:rsidRPr="00BE6EE7">
        <w:rPr>
          <w:rFonts w:ascii="Times New Roman" w:eastAsia="Times New Roman" w:hAnsi="Times New Roman" w:cs="Times New Roman"/>
          <w:i/>
          <w:color w:val="000000"/>
        </w:rPr>
        <w:t xml:space="preserve">rising star </w:t>
      </w:r>
      <w:r w:rsidRPr="00BE6EE7">
        <w:rPr>
          <w:rFonts w:ascii="Times New Roman" w:eastAsia="Times New Roman" w:hAnsi="Times New Roman" w:cs="Times New Roman"/>
          <w:color w:val="000000"/>
        </w:rPr>
        <w:t>atau dengan kata lain kegiatan perdagangan berada pada kondisi paling ideal dalam kegiatan perdagangan atau produk diterima pasar dan pangsa pasar terus bertambah.</w:t>
      </w:r>
    </w:p>
    <w:p w:rsidR="00E42EF9" w:rsidRPr="00BE6EE7" w:rsidRDefault="00E42EF9" w:rsidP="00CB146D">
      <w:pPr>
        <w:numPr>
          <w:ilvl w:val="0"/>
          <w:numId w:val="8"/>
        </w:numPr>
        <w:spacing w:after="0" w:line="240" w:lineRule="auto"/>
        <w:ind w:left="284" w:hanging="284"/>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 xml:space="preserve">Positif – negatif, maka posisi pasar pada kondisi </w:t>
      </w:r>
      <w:r w:rsidRPr="00BE6EE7">
        <w:rPr>
          <w:rFonts w:ascii="Times New Roman" w:eastAsia="Times New Roman" w:hAnsi="Times New Roman" w:cs="Times New Roman"/>
          <w:i/>
          <w:color w:val="000000"/>
        </w:rPr>
        <w:t>falling star</w:t>
      </w:r>
      <w:r w:rsidRPr="00BE6EE7">
        <w:rPr>
          <w:rFonts w:ascii="Times New Roman" w:eastAsia="Times New Roman" w:hAnsi="Times New Roman" w:cs="Times New Roman"/>
          <w:color w:val="000000"/>
        </w:rPr>
        <w:t xml:space="preserve"> atau dengan kata lain daya saing dari komoditas yang diperdagangkan mengalami penurunan, sehingga negara eksportir kehilangan kesempatan.</w:t>
      </w:r>
    </w:p>
    <w:p w:rsidR="00E42EF9" w:rsidRPr="00BE6EE7" w:rsidRDefault="00E42EF9" w:rsidP="00CB146D">
      <w:pPr>
        <w:numPr>
          <w:ilvl w:val="0"/>
          <w:numId w:val="8"/>
        </w:numPr>
        <w:spacing w:after="0" w:line="240" w:lineRule="auto"/>
        <w:ind w:left="284" w:hanging="284"/>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 xml:space="preserve">Negatif – positif, maka posisi pasar berada posisi </w:t>
      </w:r>
      <w:r w:rsidRPr="00BE6EE7">
        <w:rPr>
          <w:rFonts w:ascii="Times New Roman" w:eastAsia="Times New Roman" w:hAnsi="Times New Roman" w:cs="Times New Roman"/>
          <w:i/>
          <w:color w:val="000000"/>
        </w:rPr>
        <w:t xml:space="preserve">lost opportunity </w:t>
      </w:r>
      <w:r w:rsidRPr="00BE6EE7">
        <w:rPr>
          <w:rFonts w:ascii="Times New Roman" w:eastAsia="Times New Roman" w:hAnsi="Times New Roman" w:cs="Times New Roman"/>
          <w:color w:val="000000"/>
        </w:rPr>
        <w:t>atau komoditas yang diperdagangkan tidak terlalu diharapkan oleh negara namun pangsa pasar masih menunjukkan peningkatan dan komoditas tidak dinamis.</w:t>
      </w:r>
    </w:p>
    <w:p w:rsidR="00455FF4" w:rsidRPr="00D343C2" w:rsidRDefault="00E42EF9" w:rsidP="00CB146D">
      <w:pPr>
        <w:numPr>
          <w:ilvl w:val="0"/>
          <w:numId w:val="8"/>
        </w:numPr>
        <w:spacing w:after="0" w:line="240" w:lineRule="auto"/>
        <w:ind w:left="284" w:hanging="284"/>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lastRenderedPageBreak/>
        <w:t xml:space="preserve">Negatif – negatif, maka posisi pasar berada pada posisi </w:t>
      </w:r>
      <w:r w:rsidRPr="00BE6EE7">
        <w:rPr>
          <w:rFonts w:ascii="Times New Roman" w:eastAsia="Times New Roman" w:hAnsi="Times New Roman" w:cs="Times New Roman"/>
          <w:i/>
          <w:color w:val="000000"/>
        </w:rPr>
        <w:t xml:space="preserve">retreat </w:t>
      </w:r>
      <w:r w:rsidRPr="00BE6EE7">
        <w:rPr>
          <w:rFonts w:ascii="Times New Roman" w:eastAsia="Times New Roman" w:hAnsi="Times New Roman" w:cs="Times New Roman"/>
          <w:color w:val="000000"/>
        </w:rPr>
        <w:t>atau dengan kata lain pasar tidak menginginkan komoditas yang diperdagangkan.</w:t>
      </w:r>
    </w:p>
    <w:p w:rsidR="00D301C2" w:rsidRDefault="00D301C2" w:rsidP="00C71134">
      <w:pPr>
        <w:spacing w:after="0" w:line="240" w:lineRule="auto"/>
        <w:rPr>
          <w:rFonts w:ascii="Times New Roman" w:hAnsi="Times New Roman" w:cs="Times New Roman"/>
          <w:b/>
          <w:lang w:val="id-ID"/>
        </w:rPr>
      </w:pPr>
    </w:p>
    <w:p w:rsidR="00402727" w:rsidRPr="009F7A5E" w:rsidRDefault="004A279A" w:rsidP="00C71134">
      <w:pPr>
        <w:spacing w:after="0" w:line="240" w:lineRule="auto"/>
        <w:rPr>
          <w:rFonts w:ascii="Times New Roman" w:hAnsi="Times New Roman" w:cs="Times New Roman"/>
          <w:b/>
          <w:sz w:val="24"/>
          <w:szCs w:val="24"/>
          <w:lang w:val="id-ID"/>
        </w:rPr>
      </w:pPr>
      <w:r w:rsidRPr="009F7A5E">
        <w:rPr>
          <w:rFonts w:ascii="Times New Roman" w:hAnsi="Times New Roman" w:cs="Times New Roman"/>
          <w:b/>
          <w:sz w:val="24"/>
          <w:szCs w:val="24"/>
          <w:lang w:val="id-ID"/>
        </w:rPr>
        <w:t>HASIL DAN PEMBAHASAN</w:t>
      </w:r>
    </w:p>
    <w:p w:rsidR="00455FF4" w:rsidRPr="00BE6EE7" w:rsidRDefault="0054555F" w:rsidP="00CB146D">
      <w:pPr>
        <w:spacing w:after="0" w:line="240" w:lineRule="auto"/>
        <w:ind w:firstLine="567"/>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Ekspor komoditas tembakau merupakan salah satu pendapatan Indonesia yang berasal dari sektor non migas. Menurut data dari</w:t>
      </w:r>
      <w:r w:rsidRPr="00BE6EE7">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lang w:val="id-ID"/>
        </w:rPr>
        <w:fldChar w:fldCharType="begin" w:fldLock="1"/>
      </w:r>
      <w:r w:rsidRPr="00BE6EE7">
        <w:rPr>
          <w:rFonts w:ascii="Times New Roman" w:eastAsia="Times New Roman" w:hAnsi="Times New Roman" w:cs="Times New Roman"/>
          <w:color w:val="000000"/>
          <w:lang w:val="id-ID"/>
        </w:rPr>
        <w:instrText>ADDIN CSL_CITATION {"citationItems":[{"id":"ITEM-1","itemData":{"URL":"https://www.statista.com/statistics/261173/leading-countries-in-tobacco-production/","author":[{"dropping-particle":"","family":"Statista","given":"","non-dropping-particle":"","parse-names":false,"suffix":""}],"container-title":"Statista","id":"ITEM-1","issued":{"date-parts":[["2021"]]},"title":"Leading Tobacco Producing Countries Worldwide in 2019 (in 1.000 Metric Tons)","type":"webpage"},"uris":["http://www.mendeley.com/documents/?uuid=302cf3f2-b3b9-4837-8522-36dd710daa83"]}],"mendeley":{"formattedCitation":"(Statista, 2021)","manualFormatting":"Statista (2021)","plainTextFormattedCitation":"(Statista, 2021)","previouslyFormattedCitation":"(Statista, 2021)"},"properties":{"noteIndex":0},"schema":"https://github.com/citation-style-language/schema/raw/master/csl-citation.json"}</w:instrText>
      </w:r>
      <w:r w:rsidRPr="00BE6EE7">
        <w:rPr>
          <w:rFonts w:ascii="Times New Roman" w:eastAsia="Times New Roman" w:hAnsi="Times New Roman" w:cs="Times New Roman"/>
          <w:color w:val="000000"/>
          <w:lang w:val="id-ID"/>
        </w:rPr>
        <w:fldChar w:fldCharType="separate"/>
      </w:r>
      <w:r w:rsidRPr="00BE6EE7">
        <w:rPr>
          <w:rFonts w:ascii="Times New Roman" w:eastAsia="Times New Roman" w:hAnsi="Times New Roman" w:cs="Times New Roman"/>
          <w:noProof/>
          <w:color w:val="000000"/>
          <w:lang w:val="id-ID"/>
        </w:rPr>
        <w:t>Statista (2021)</w:t>
      </w:r>
      <w:r w:rsidRPr="00BE6EE7">
        <w:rPr>
          <w:rFonts w:ascii="Times New Roman" w:eastAsia="Times New Roman" w:hAnsi="Times New Roman" w:cs="Times New Roman"/>
          <w:color w:val="000000"/>
          <w:lang w:val="id-ID"/>
        </w:rPr>
        <w:fldChar w:fldCharType="end"/>
      </w:r>
      <w:r w:rsidRPr="00BE6EE7">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rPr>
        <w:t>pada tahun 2019 produsen terbesar komoditas tembakau dunia diduduki oleh China dengan produksi sebesar 2.610.510 ton, India sebesar 804.450 ton, Brazil sebesar 769.800 ton, Zimbabwe sebesar 257.760 ton, Amerika Serikat sebesar 212.260 ton, dan Indonesia dengan produksi sebesar 197.250 ton. Berdasarkan data tersebut, Indonesia berhasil menempati posisi enam sebagai produsen tembakau besar dunia dan menjadikan komoditas tembakau sangat potensial untuk kegiatan ekspor.</w:t>
      </w:r>
    </w:p>
    <w:p w:rsidR="00997177" w:rsidRPr="00BE6EE7" w:rsidRDefault="00997177" w:rsidP="00CB146D">
      <w:pPr>
        <w:pBdr>
          <w:top w:val="nil"/>
          <w:left w:val="nil"/>
          <w:bottom w:val="nil"/>
          <w:right w:val="nil"/>
          <w:between w:val="nil"/>
        </w:pBdr>
        <w:spacing w:after="0" w:line="240" w:lineRule="auto"/>
        <w:ind w:left="1036" w:hanging="1036"/>
        <w:jc w:val="both"/>
        <w:rPr>
          <w:rFonts w:ascii="Times New Roman" w:eastAsia="Times New Roman" w:hAnsi="Times New Roman" w:cs="Times New Roman"/>
          <w:color w:val="000000"/>
        </w:rPr>
      </w:pPr>
      <w:r>
        <w:rPr>
          <w:rFonts w:ascii="Times New Roman" w:eastAsia="Times New Roman" w:hAnsi="Times New Roman" w:cs="Times New Roman"/>
          <w:color w:val="000000"/>
        </w:rPr>
        <w:t>Tabel 1. Posisi t</w:t>
      </w:r>
      <w:r w:rsidR="00613778" w:rsidRPr="00BE6EE7">
        <w:rPr>
          <w:rFonts w:ascii="Times New Roman" w:eastAsia="Times New Roman" w:hAnsi="Times New Roman" w:cs="Times New Roman"/>
          <w:color w:val="000000"/>
        </w:rPr>
        <w:t xml:space="preserve">embakau (HS 2401) Indonesia di </w:t>
      </w:r>
      <w:r w:rsidRPr="00BE6EE7">
        <w:rPr>
          <w:rFonts w:ascii="Times New Roman" w:eastAsia="Times New Roman" w:hAnsi="Times New Roman" w:cs="Times New Roman"/>
          <w:color w:val="000000"/>
        </w:rPr>
        <w:t>negara tujuan utama</w:t>
      </w:r>
      <w:r>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rPr>
        <w:t>tahun</w:t>
      </w:r>
      <w:r w:rsidR="00613778" w:rsidRPr="00BE6EE7">
        <w:rPr>
          <w:rFonts w:ascii="Times New Roman" w:eastAsia="Times New Roman" w:hAnsi="Times New Roman" w:cs="Times New Roman"/>
          <w:color w:val="000000"/>
        </w:rPr>
        <w:t xml:space="preserve"> 2018-2020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3"/>
        <w:gridCol w:w="2643"/>
      </w:tblGrid>
      <w:tr w:rsidR="00613778" w:rsidRPr="00BE6EE7" w:rsidTr="004657D6">
        <w:trPr>
          <w:trHeight w:val="435"/>
        </w:trPr>
        <w:tc>
          <w:tcPr>
            <w:tcW w:w="2642" w:type="dxa"/>
            <w:tcBorders>
              <w:top w:val="single" w:sz="4" w:space="0" w:color="auto"/>
              <w:bottom w:val="single" w:sz="4" w:space="0" w:color="auto"/>
            </w:tcBorders>
            <w:vAlign w:val="center"/>
          </w:tcPr>
          <w:p w:rsidR="00613778" w:rsidRPr="00F7287C" w:rsidRDefault="00613778" w:rsidP="00CB146D">
            <w:pPr>
              <w:jc w:val="center"/>
              <w:rPr>
                <w:rFonts w:ascii="Times New Roman" w:eastAsia="Times New Roman" w:hAnsi="Times New Roman" w:cs="Times New Roman"/>
                <w:b/>
                <w:color w:val="000000"/>
                <w:sz w:val="20"/>
                <w:szCs w:val="20"/>
              </w:rPr>
            </w:pPr>
            <w:r w:rsidRPr="00F7287C">
              <w:rPr>
                <w:rFonts w:ascii="Times New Roman" w:eastAsia="Times New Roman" w:hAnsi="Times New Roman" w:cs="Times New Roman"/>
                <w:b/>
                <w:color w:val="000000"/>
                <w:sz w:val="20"/>
                <w:szCs w:val="20"/>
              </w:rPr>
              <w:t>Negara</w:t>
            </w:r>
          </w:p>
        </w:tc>
        <w:tc>
          <w:tcPr>
            <w:tcW w:w="2643" w:type="dxa"/>
            <w:tcBorders>
              <w:top w:val="single" w:sz="4" w:space="0" w:color="auto"/>
              <w:bottom w:val="single" w:sz="4" w:space="0" w:color="auto"/>
            </w:tcBorders>
            <w:vAlign w:val="center"/>
          </w:tcPr>
          <w:p w:rsidR="00613778" w:rsidRPr="00F7287C" w:rsidRDefault="00613778" w:rsidP="00CB146D">
            <w:pPr>
              <w:jc w:val="center"/>
              <w:rPr>
                <w:rFonts w:ascii="Times New Roman" w:eastAsia="Times New Roman" w:hAnsi="Times New Roman" w:cs="Times New Roman"/>
                <w:b/>
                <w:i/>
                <w:color w:val="000000"/>
                <w:sz w:val="20"/>
                <w:szCs w:val="20"/>
              </w:rPr>
            </w:pPr>
            <w:r w:rsidRPr="00F7287C">
              <w:rPr>
                <w:rFonts w:ascii="Times New Roman" w:eastAsia="Times New Roman" w:hAnsi="Times New Roman" w:cs="Times New Roman"/>
                <w:b/>
                <w:i/>
                <w:color w:val="000000"/>
                <w:sz w:val="20"/>
                <w:szCs w:val="20"/>
              </w:rPr>
              <w:t>Market Share</w:t>
            </w:r>
          </w:p>
        </w:tc>
        <w:tc>
          <w:tcPr>
            <w:tcW w:w="2643" w:type="dxa"/>
            <w:tcBorders>
              <w:top w:val="single" w:sz="4" w:space="0" w:color="auto"/>
              <w:bottom w:val="single" w:sz="4" w:space="0" w:color="auto"/>
            </w:tcBorders>
            <w:vAlign w:val="center"/>
          </w:tcPr>
          <w:p w:rsidR="00613778" w:rsidRPr="00F7287C" w:rsidRDefault="00613778" w:rsidP="00CB146D">
            <w:pPr>
              <w:jc w:val="center"/>
              <w:rPr>
                <w:rFonts w:ascii="Times New Roman" w:eastAsia="Times New Roman" w:hAnsi="Times New Roman" w:cs="Times New Roman"/>
                <w:b/>
                <w:i/>
                <w:color w:val="000000"/>
                <w:sz w:val="20"/>
                <w:szCs w:val="20"/>
              </w:rPr>
            </w:pPr>
            <w:r w:rsidRPr="00F7287C">
              <w:rPr>
                <w:rFonts w:ascii="Times New Roman" w:eastAsia="Times New Roman" w:hAnsi="Times New Roman" w:cs="Times New Roman"/>
                <w:b/>
                <w:i/>
                <w:color w:val="000000"/>
                <w:sz w:val="20"/>
                <w:szCs w:val="20"/>
              </w:rPr>
              <w:t>Ranking</w:t>
            </w:r>
          </w:p>
        </w:tc>
      </w:tr>
      <w:tr w:rsidR="00613778" w:rsidRPr="00BE6EE7" w:rsidTr="00997177">
        <w:tc>
          <w:tcPr>
            <w:tcW w:w="2642" w:type="dxa"/>
            <w:tcBorders>
              <w:top w:val="single" w:sz="4" w:space="0" w:color="auto"/>
            </w:tcBorders>
            <w:vAlign w:val="center"/>
          </w:tcPr>
          <w:p w:rsidR="00613778" w:rsidRPr="00F7287C" w:rsidRDefault="00613778" w:rsidP="00CB146D">
            <w:pP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Belgia</w:t>
            </w:r>
          </w:p>
        </w:tc>
        <w:tc>
          <w:tcPr>
            <w:tcW w:w="2643" w:type="dxa"/>
            <w:tcBorders>
              <w:top w:val="single" w:sz="4" w:space="0" w:color="auto"/>
            </w:tcBorders>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4,10 %</w:t>
            </w:r>
          </w:p>
        </w:tc>
        <w:tc>
          <w:tcPr>
            <w:tcW w:w="2643" w:type="dxa"/>
            <w:tcBorders>
              <w:top w:val="single" w:sz="4" w:space="0" w:color="auto"/>
            </w:tcBorders>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5</w:t>
            </w:r>
          </w:p>
        </w:tc>
      </w:tr>
      <w:tr w:rsidR="00613778" w:rsidRPr="00BE6EE7" w:rsidTr="00997177">
        <w:tc>
          <w:tcPr>
            <w:tcW w:w="2642" w:type="dxa"/>
            <w:vAlign w:val="center"/>
          </w:tcPr>
          <w:p w:rsidR="00613778" w:rsidRPr="00F7287C" w:rsidRDefault="00613778" w:rsidP="00CB146D">
            <w:pP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Singapura</w:t>
            </w:r>
          </w:p>
        </w:tc>
        <w:tc>
          <w:tcPr>
            <w:tcW w:w="2643" w:type="dxa"/>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15,39 %</w:t>
            </w:r>
          </w:p>
        </w:tc>
        <w:tc>
          <w:tcPr>
            <w:tcW w:w="2643" w:type="dxa"/>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2</w:t>
            </w:r>
          </w:p>
        </w:tc>
      </w:tr>
      <w:tr w:rsidR="00613778" w:rsidRPr="00BE6EE7" w:rsidTr="00997177">
        <w:tc>
          <w:tcPr>
            <w:tcW w:w="2642" w:type="dxa"/>
            <w:vAlign w:val="center"/>
          </w:tcPr>
          <w:p w:rsidR="00613778" w:rsidRPr="00F7287C" w:rsidRDefault="00613778" w:rsidP="00CB146D">
            <w:pP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Republik Dominika</w:t>
            </w:r>
          </w:p>
        </w:tc>
        <w:tc>
          <w:tcPr>
            <w:tcW w:w="2643" w:type="dxa"/>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14,73 %</w:t>
            </w:r>
          </w:p>
        </w:tc>
        <w:tc>
          <w:tcPr>
            <w:tcW w:w="2643" w:type="dxa"/>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3</w:t>
            </w:r>
          </w:p>
        </w:tc>
      </w:tr>
      <w:tr w:rsidR="00613778" w:rsidRPr="00BE6EE7" w:rsidTr="00997177">
        <w:tc>
          <w:tcPr>
            <w:tcW w:w="2642" w:type="dxa"/>
            <w:vAlign w:val="center"/>
          </w:tcPr>
          <w:p w:rsidR="00613778" w:rsidRPr="00F7287C" w:rsidRDefault="00613778" w:rsidP="00CB146D">
            <w:pP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Sri Lanka</w:t>
            </w:r>
          </w:p>
        </w:tc>
        <w:tc>
          <w:tcPr>
            <w:tcW w:w="2643" w:type="dxa"/>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41,88 %</w:t>
            </w:r>
          </w:p>
        </w:tc>
        <w:tc>
          <w:tcPr>
            <w:tcW w:w="2643" w:type="dxa"/>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1</w:t>
            </w:r>
          </w:p>
        </w:tc>
      </w:tr>
      <w:tr w:rsidR="00613778" w:rsidRPr="00BE6EE7" w:rsidTr="00997177">
        <w:tc>
          <w:tcPr>
            <w:tcW w:w="2642" w:type="dxa"/>
            <w:vAlign w:val="center"/>
          </w:tcPr>
          <w:p w:rsidR="00613778" w:rsidRPr="00F7287C" w:rsidRDefault="00613778" w:rsidP="00CB146D">
            <w:pP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Jerman</w:t>
            </w:r>
          </w:p>
        </w:tc>
        <w:tc>
          <w:tcPr>
            <w:tcW w:w="2643" w:type="dxa"/>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0,37 %</w:t>
            </w:r>
          </w:p>
        </w:tc>
        <w:tc>
          <w:tcPr>
            <w:tcW w:w="2643" w:type="dxa"/>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25</w:t>
            </w:r>
          </w:p>
        </w:tc>
      </w:tr>
      <w:tr w:rsidR="00613778" w:rsidRPr="00BE6EE7" w:rsidTr="00997177">
        <w:tc>
          <w:tcPr>
            <w:tcW w:w="2642" w:type="dxa"/>
            <w:vAlign w:val="center"/>
          </w:tcPr>
          <w:p w:rsidR="00613778" w:rsidRPr="00F7287C" w:rsidRDefault="00613778" w:rsidP="00CB146D">
            <w:pP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Belanda</w:t>
            </w:r>
          </w:p>
        </w:tc>
        <w:tc>
          <w:tcPr>
            <w:tcW w:w="2643" w:type="dxa"/>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3,83 %</w:t>
            </w:r>
          </w:p>
        </w:tc>
        <w:tc>
          <w:tcPr>
            <w:tcW w:w="2643" w:type="dxa"/>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9</w:t>
            </w:r>
          </w:p>
        </w:tc>
      </w:tr>
      <w:tr w:rsidR="00613778" w:rsidRPr="00BE6EE7" w:rsidTr="00997177">
        <w:tc>
          <w:tcPr>
            <w:tcW w:w="2642" w:type="dxa"/>
            <w:vAlign w:val="center"/>
          </w:tcPr>
          <w:p w:rsidR="00613778" w:rsidRPr="00F7287C" w:rsidRDefault="00613778" w:rsidP="00CB146D">
            <w:pP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Amerika Serikat</w:t>
            </w:r>
          </w:p>
        </w:tc>
        <w:tc>
          <w:tcPr>
            <w:tcW w:w="2643" w:type="dxa"/>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4,16 %</w:t>
            </w:r>
          </w:p>
        </w:tc>
        <w:tc>
          <w:tcPr>
            <w:tcW w:w="2643" w:type="dxa"/>
            <w:vAlign w:val="center"/>
          </w:tcPr>
          <w:p w:rsidR="00613778" w:rsidRPr="00F7287C" w:rsidRDefault="00613778"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7</w:t>
            </w:r>
          </w:p>
        </w:tc>
      </w:tr>
    </w:tbl>
    <w:p w:rsidR="00613778" w:rsidRPr="00F7287C" w:rsidRDefault="00997177" w:rsidP="00CB146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 xml:space="preserve">Sumber: Data diolah, </w:t>
      </w:r>
      <w:r w:rsidR="00D252BB" w:rsidRPr="00F7287C">
        <w:rPr>
          <w:rFonts w:ascii="Times New Roman" w:eastAsia="Times New Roman" w:hAnsi="Times New Roman" w:cs="Times New Roman"/>
          <w:color w:val="000000"/>
          <w:sz w:val="20"/>
          <w:szCs w:val="20"/>
        </w:rPr>
        <w:t>2021</w:t>
      </w:r>
    </w:p>
    <w:p w:rsidR="00613778" w:rsidRDefault="005018A1" w:rsidP="00CB146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BE6EE7">
        <w:rPr>
          <w:rFonts w:ascii="Times New Roman" w:eastAsia="Times New Roman" w:hAnsi="Times New Roman" w:cs="Times New Roman"/>
          <w:i/>
          <w:color w:val="000000"/>
          <w:lang w:val="id-ID"/>
        </w:rPr>
        <w:t>M</w:t>
      </w:r>
      <w:r w:rsidR="0054555F" w:rsidRPr="00BE6EE7">
        <w:rPr>
          <w:rFonts w:ascii="Times New Roman" w:eastAsia="Times New Roman" w:hAnsi="Times New Roman" w:cs="Times New Roman"/>
          <w:i/>
          <w:color w:val="000000"/>
        </w:rPr>
        <w:t xml:space="preserve">arket share </w:t>
      </w:r>
      <w:r w:rsidR="0054555F" w:rsidRPr="00BE6EE7">
        <w:rPr>
          <w:rFonts w:ascii="Times New Roman" w:eastAsia="Times New Roman" w:hAnsi="Times New Roman" w:cs="Times New Roman"/>
          <w:color w:val="000000"/>
        </w:rPr>
        <w:t>tembakau Indonesia di negara tujuan utama sebagian besar berada pada posisi 10 besar, khususnya di negara Sri Lanka yang menempati posisi pertama. Tingginya posisi pasar tembakau Indonesia disebabkan oleh permintaan pasar negara tujuan utama terhadap tembakau Indonesia yang mana salah duanya dipengaruhi oleh kualitas dan rasa tembakau Indonesia</w:t>
      </w:r>
      <w:r w:rsidR="0054555F" w:rsidRPr="00BE6EE7">
        <w:rPr>
          <w:rFonts w:ascii="Times New Roman" w:eastAsia="Times New Roman" w:hAnsi="Times New Roman" w:cs="Times New Roman"/>
          <w:color w:val="000000"/>
          <w:lang w:val="id-ID"/>
        </w:rPr>
        <w:t xml:space="preserve"> </w:t>
      </w:r>
      <w:r w:rsidR="0054555F" w:rsidRPr="00BE6EE7">
        <w:rPr>
          <w:rFonts w:ascii="Times New Roman" w:eastAsia="Times New Roman" w:hAnsi="Times New Roman" w:cs="Times New Roman"/>
          <w:color w:val="000000"/>
          <w:lang w:val="id-ID"/>
        </w:rPr>
        <w:fldChar w:fldCharType="begin" w:fldLock="1"/>
      </w:r>
      <w:r w:rsidR="0054555F" w:rsidRPr="00BE6EE7">
        <w:rPr>
          <w:rFonts w:ascii="Times New Roman" w:eastAsia="Times New Roman" w:hAnsi="Times New Roman" w:cs="Times New Roman"/>
          <w:color w:val="000000"/>
          <w:lang w:val="id-ID"/>
        </w:rPr>
        <w:instrText>ADDIN CSL_CITATION {"citationItems":[{"id":"ITEM-1","itemData":{"URL":"https://indonesia.go.id/ragam/komoditas/ekonomi/tembakau-sejarah-dan-cita-rasa-indonesia","author":[{"dropping-particle":"","family":"Indonesia.go.id","given":"","non-dropping-particle":"","parse-names":false,"suffix":""}],"container-title":"Indonesia.go.id","id":"ITEM-1","issued":{"date-parts":[["2018"]]},"title":"Tembakau, Sejarah, dan Cita Rasa","type":"webpage"},"uris":["http://www.mendeley.com/documents/?uuid=3690330c-9f31-42c8-bf59-070de3a433bd"]}],"mendeley":{"formattedCitation":"(Indonesia.go.id, 2018)","plainTextFormattedCitation":"(Indonesia.go.id, 2018)","previouslyFormattedCitation":"(Indonesia.go.id, 2018)"},"properties":{"noteIndex":0},"schema":"https://github.com/citation-style-language/schema/raw/master/csl-citation.json"}</w:instrText>
      </w:r>
      <w:r w:rsidR="0054555F" w:rsidRPr="00BE6EE7">
        <w:rPr>
          <w:rFonts w:ascii="Times New Roman" w:eastAsia="Times New Roman" w:hAnsi="Times New Roman" w:cs="Times New Roman"/>
          <w:color w:val="000000"/>
          <w:lang w:val="id-ID"/>
        </w:rPr>
        <w:fldChar w:fldCharType="separate"/>
      </w:r>
      <w:r w:rsidR="0054555F" w:rsidRPr="00BE6EE7">
        <w:rPr>
          <w:rFonts w:ascii="Times New Roman" w:eastAsia="Times New Roman" w:hAnsi="Times New Roman" w:cs="Times New Roman"/>
          <w:noProof/>
          <w:color w:val="000000"/>
          <w:lang w:val="id-ID"/>
        </w:rPr>
        <w:t>(Indonesia.go.id, 2018)</w:t>
      </w:r>
      <w:r w:rsidR="0054555F" w:rsidRPr="00BE6EE7">
        <w:rPr>
          <w:rFonts w:ascii="Times New Roman" w:eastAsia="Times New Roman" w:hAnsi="Times New Roman" w:cs="Times New Roman"/>
          <w:color w:val="000000"/>
          <w:lang w:val="id-ID"/>
        </w:rPr>
        <w:fldChar w:fldCharType="end"/>
      </w:r>
      <w:r w:rsidR="0054555F" w:rsidRPr="00BE6EE7">
        <w:rPr>
          <w:rFonts w:ascii="Times New Roman" w:eastAsia="Times New Roman" w:hAnsi="Times New Roman" w:cs="Times New Roman"/>
          <w:color w:val="000000"/>
        </w:rPr>
        <w:t>. Tembakau Indonesia yang diekspor ke negara tujuan utama memiliki beberapa jenis yang berbeda. Berikut jenis tembakau Indonesia yang diekspor dan diimpor dari dan ke negara tujuan utama dengan kode HS 2401</w:t>
      </w:r>
      <w:r w:rsidR="00613778" w:rsidRPr="00BE6EE7">
        <w:rPr>
          <w:rFonts w:ascii="Times New Roman" w:eastAsia="Times New Roman" w:hAnsi="Times New Roman" w:cs="Times New Roman"/>
          <w:color w:val="000000"/>
        </w:rPr>
        <w:t>.</w:t>
      </w: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6"/>
        <w:gridCol w:w="278"/>
        <w:gridCol w:w="6454"/>
      </w:tblGrid>
      <w:tr w:rsidR="00D343C2" w:rsidTr="00F7287C">
        <w:tc>
          <w:tcPr>
            <w:tcW w:w="1206" w:type="dxa"/>
            <w:vAlign w:val="center"/>
          </w:tcPr>
          <w:p w:rsidR="00D343C2" w:rsidRDefault="00D343C2" w:rsidP="00CB146D">
            <w:pPr>
              <w:rPr>
                <w:rFonts w:ascii="Times New Roman" w:eastAsia="Times New Roman" w:hAnsi="Times New Roman" w:cs="Times New Roman"/>
                <w:color w:val="000000"/>
              </w:rPr>
            </w:pPr>
            <w:r w:rsidRPr="00BE6EE7">
              <w:rPr>
                <w:rFonts w:ascii="Times New Roman" w:eastAsia="Times New Roman" w:hAnsi="Times New Roman" w:cs="Times New Roman"/>
                <w:color w:val="000000"/>
              </w:rPr>
              <w:t>2401.10.10</w:t>
            </w:r>
          </w:p>
        </w:tc>
        <w:tc>
          <w:tcPr>
            <w:tcW w:w="278" w:type="dxa"/>
            <w:vAlign w:val="center"/>
          </w:tcPr>
          <w:p w:rsidR="00D343C2" w:rsidRDefault="00D343C2" w:rsidP="00CB146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454" w:type="dxa"/>
            <w:vAlign w:val="center"/>
          </w:tcPr>
          <w:p w:rsidR="00D343C2" w:rsidRDefault="00D343C2" w:rsidP="00CB146D">
            <w:pPr>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Tembakau jenis virginia, diolah dengan udara panas</w:t>
            </w:r>
          </w:p>
        </w:tc>
      </w:tr>
      <w:tr w:rsidR="00D343C2" w:rsidTr="00F7287C">
        <w:tc>
          <w:tcPr>
            <w:tcW w:w="1206" w:type="dxa"/>
            <w:vAlign w:val="center"/>
          </w:tcPr>
          <w:p w:rsidR="00D343C2" w:rsidRDefault="00D343C2" w:rsidP="00CB146D">
            <w:pPr>
              <w:rPr>
                <w:rFonts w:ascii="Times New Roman" w:eastAsia="Times New Roman" w:hAnsi="Times New Roman" w:cs="Times New Roman"/>
                <w:color w:val="000000"/>
              </w:rPr>
            </w:pPr>
            <w:r w:rsidRPr="00BE6EE7">
              <w:rPr>
                <w:rFonts w:ascii="Times New Roman" w:eastAsia="Times New Roman" w:hAnsi="Times New Roman" w:cs="Times New Roman"/>
                <w:color w:val="000000"/>
              </w:rPr>
              <w:t>2401.10.40</w:t>
            </w:r>
          </w:p>
        </w:tc>
        <w:tc>
          <w:tcPr>
            <w:tcW w:w="278" w:type="dxa"/>
            <w:vAlign w:val="center"/>
          </w:tcPr>
          <w:p w:rsidR="00D343C2" w:rsidRDefault="00D343C2" w:rsidP="00CB146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454" w:type="dxa"/>
            <w:vAlign w:val="center"/>
          </w:tcPr>
          <w:p w:rsidR="00D343C2" w:rsidRDefault="00D343C2" w:rsidP="00CB146D">
            <w:pPr>
              <w:jc w:val="both"/>
              <w:rPr>
                <w:rFonts w:ascii="Times New Roman" w:eastAsia="Times New Roman" w:hAnsi="Times New Roman" w:cs="Times New Roman"/>
                <w:color w:val="000000"/>
              </w:rPr>
            </w:pPr>
            <w:r>
              <w:rPr>
                <w:rFonts w:ascii="Times New Roman" w:eastAsia="Times New Roman" w:hAnsi="Times New Roman" w:cs="Times New Roman"/>
                <w:color w:val="000000"/>
              </w:rPr>
              <w:t>Tembakau jenis burley tidak</w:t>
            </w:r>
            <w:r w:rsidR="002B6B1C">
              <w:rPr>
                <w:rFonts w:ascii="Times New Roman" w:eastAsia="Times New Roman" w:hAnsi="Times New Roman" w:cs="Times New Roman"/>
                <w:color w:val="000000"/>
              </w:rPr>
              <w:t xml:space="preserve"> </w:t>
            </w:r>
            <w:r w:rsidRPr="00BE6EE7">
              <w:rPr>
                <w:rFonts w:ascii="Times New Roman" w:eastAsia="Times New Roman" w:hAnsi="Times New Roman" w:cs="Times New Roman"/>
                <w:color w:val="000000"/>
              </w:rPr>
              <w:t>bertangkai/</w:t>
            </w:r>
            <w:r w:rsidR="00997177">
              <w:rPr>
                <w:rFonts w:ascii="Times New Roman" w:eastAsia="Times New Roman" w:hAnsi="Times New Roman" w:cs="Times New Roman"/>
                <w:color w:val="000000"/>
              </w:rPr>
              <w:t xml:space="preserve"> </w:t>
            </w:r>
            <w:r w:rsidRPr="00BE6EE7">
              <w:rPr>
                <w:rFonts w:ascii="Times New Roman" w:eastAsia="Times New Roman" w:hAnsi="Times New Roman" w:cs="Times New Roman"/>
                <w:color w:val="000000"/>
              </w:rPr>
              <w:t>bertulang</w:t>
            </w:r>
          </w:p>
        </w:tc>
      </w:tr>
      <w:tr w:rsidR="00D343C2" w:rsidTr="00F7287C">
        <w:tc>
          <w:tcPr>
            <w:tcW w:w="1206" w:type="dxa"/>
            <w:vAlign w:val="center"/>
          </w:tcPr>
          <w:p w:rsidR="00D343C2" w:rsidRDefault="00D343C2" w:rsidP="00CB146D">
            <w:pPr>
              <w:rPr>
                <w:rFonts w:ascii="Times New Roman" w:eastAsia="Times New Roman" w:hAnsi="Times New Roman" w:cs="Times New Roman"/>
                <w:color w:val="000000"/>
              </w:rPr>
            </w:pPr>
            <w:r w:rsidRPr="00BE6EE7">
              <w:rPr>
                <w:rFonts w:ascii="Times New Roman" w:eastAsia="Times New Roman" w:hAnsi="Times New Roman" w:cs="Times New Roman"/>
                <w:color w:val="000000"/>
              </w:rPr>
              <w:t>2401.10.50</w:t>
            </w:r>
          </w:p>
        </w:tc>
        <w:tc>
          <w:tcPr>
            <w:tcW w:w="278" w:type="dxa"/>
            <w:vAlign w:val="center"/>
          </w:tcPr>
          <w:p w:rsidR="00D343C2" w:rsidRDefault="00D343C2" w:rsidP="00CB146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454" w:type="dxa"/>
            <w:vAlign w:val="center"/>
          </w:tcPr>
          <w:p w:rsidR="00D343C2" w:rsidRDefault="00D343C2" w:rsidP="00CB146D">
            <w:pPr>
              <w:pBdr>
                <w:top w:val="nil"/>
                <w:left w:val="nil"/>
                <w:bottom w:val="nil"/>
                <w:right w:val="nil"/>
                <w:between w:val="nil"/>
              </w:pBdr>
              <w:ind w:left="-32" w:hanging="5"/>
              <w:jc w:val="both"/>
              <w:rPr>
                <w:rFonts w:ascii="Times New Roman" w:eastAsia="Times New Roman" w:hAnsi="Times New Roman" w:cs="Times New Roman"/>
                <w:color w:val="000000"/>
              </w:rPr>
            </w:pPr>
            <w:r>
              <w:rPr>
                <w:rFonts w:ascii="Times New Roman" w:eastAsia="Times New Roman" w:hAnsi="Times New Roman" w:cs="Times New Roman"/>
                <w:color w:val="000000"/>
              </w:rPr>
              <w:t>Tembakau lain tidak bertangkai/bertulang,</w:t>
            </w:r>
            <w:r w:rsidRPr="00BE6EE7">
              <w:rPr>
                <w:rFonts w:ascii="Times New Roman" w:eastAsia="Times New Roman" w:hAnsi="Times New Roman" w:cs="Times New Roman"/>
                <w:color w:val="000000"/>
              </w:rPr>
              <w:t>diolah dengan</w:t>
            </w:r>
            <w:r>
              <w:rPr>
                <w:rFonts w:ascii="Times New Roman" w:eastAsia="Times New Roman" w:hAnsi="Times New Roman" w:cs="Times New Roman"/>
                <w:color w:val="000000"/>
              </w:rPr>
              <w:t xml:space="preserve"> </w:t>
            </w:r>
            <w:r w:rsidRPr="00BE6EE7">
              <w:rPr>
                <w:rFonts w:ascii="Times New Roman" w:eastAsia="Times New Roman" w:hAnsi="Times New Roman" w:cs="Times New Roman"/>
                <w:color w:val="000000"/>
              </w:rPr>
              <w:t>udara panas</w:t>
            </w:r>
          </w:p>
        </w:tc>
      </w:tr>
      <w:tr w:rsidR="00D343C2" w:rsidTr="00F7287C">
        <w:tc>
          <w:tcPr>
            <w:tcW w:w="1206" w:type="dxa"/>
            <w:vAlign w:val="center"/>
          </w:tcPr>
          <w:p w:rsidR="00D343C2" w:rsidRDefault="002B6B1C" w:rsidP="00CB146D">
            <w:pPr>
              <w:rPr>
                <w:rFonts w:ascii="Times New Roman" w:eastAsia="Times New Roman" w:hAnsi="Times New Roman" w:cs="Times New Roman"/>
                <w:color w:val="000000"/>
              </w:rPr>
            </w:pPr>
            <w:r w:rsidRPr="00BE6EE7">
              <w:rPr>
                <w:rFonts w:ascii="Times New Roman" w:eastAsia="Times New Roman" w:hAnsi="Times New Roman" w:cs="Times New Roman"/>
                <w:color w:val="000000"/>
              </w:rPr>
              <w:t>2401.10.90</w:t>
            </w:r>
          </w:p>
        </w:tc>
        <w:tc>
          <w:tcPr>
            <w:tcW w:w="278" w:type="dxa"/>
            <w:vAlign w:val="center"/>
          </w:tcPr>
          <w:p w:rsidR="00D343C2" w:rsidRDefault="00D343C2" w:rsidP="00CB146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454" w:type="dxa"/>
            <w:vAlign w:val="center"/>
          </w:tcPr>
          <w:p w:rsidR="00D343C2" w:rsidRDefault="002B6B1C" w:rsidP="00CB146D">
            <w:pPr>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Tembakau lain, selain yang diolah dengan udara panas</w:t>
            </w:r>
          </w:p>
        </w:tc>
      </w:tr>
      <w:tr w:rsidR="00D343C2" w:rsidTr="00F7287C">
        <w:tc>
          <w:tcPr>
            <w:tcW w:w="1206" w:type="dxa"/>
            <w:vAlign w:val="center"/>
          </w:tcPr>
          <w:p w:rsidR="00D343C2" w:rsidRDefault="002B6B1C" w:rsidP="00CB146D">
            <w:pPr>
              <w:rPr>
                <w:rFonts w:ascii="Times New Roman" w:eastAsia="Times New Roman" w:hAnsi="Times New Roman" w:cs="Times New Roman"/>
                <w:color w:val="000000"/>
              </w:rPr>
            </w:pPr>
            <w:r w:rsidRPr="00BE6EE7">
              <w:rPr>
                <w:rFonts w:ascii="Times New Roman" w:eastAsia="Times New Roman" w:hAnsi="Times New Roman" w:cs="Times New Roman"/>
                <w:color w:val="000000"/>
              </w:rPr>
              <w:t>2401.20.10</w:t>
            </w:r>
          </w:p>
        </w:tc>
        <w:tc>
          <w:tcPr>
            <w:tcW w:w="278" w:type="dxa"/>
            <w:vAlign w:val="center"/>
          </w:tcPr>
          <w:p w:rsidR="00D343C2" w:rsidRDefault="00D343C2" w:rsidP="00CB146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454" w:type="dxa"/>
            <w:vAlign w:val="center"/>
          </w:tcPr>
          <w:p w:rsidR="00D343C2" w:rsidRDefault="002B6B1C" w:rsidP="00CB146D">
            <w:pPr>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Tembakau jenis virginia irisan, diolah dengan asapan</w:t>
            </w:r>
          </w:p>
        </w:tc>
      </w:tr>
      <w:tr w:rsidR="00D343C2" w:rsidTr="00F7287C">
        <w:tc>
          <w:tcPr>
            <w:tcW w:w="1206" w:type="dxa"/>
            <w:vAlign w:val="center"/>
          </w:tcPr>
          <w:p w:rsidR="00D343C2" w:rsidRDefault="002B6B1C" w:rsidP="00CB146D">
            <w:pPr>
              <w:rPr>
                <w:rFonts w:ascii="Times New Roman" w:eastAsia="Times New Roman" w:hAnsi="Times New Roman" w:cs="Times New Roman"/>
                <w:color w:val="000000"/>
              </w:rPr>
            </w:pPr>
            <w:r w:rsidRPr="00BE6EE7">
              <w:rPr>
                <w:rFonts w:ascii="Times New Roman" w:eastAsia="Times New Roman" w:hAnsi="Times New Roman" w:cs="Times New Roman"/>
                <w:color w:val="000000"/>
              </w:rPr>
              <w:t>2401.20.30</w:t>
            </w:r>
          </w:p>
        </w:tc>
        <w:tc>
          <w:tcPr>
            <w:tcW w:w="278" w:type="dxa"/>
            <w:vAlign w:val="center"/>
          </w:tcPr>
          <w:p w:rsidR="00D343C2" w:rsidRDefault="00D343C2" w:rsidP="00CB146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454" w:type="dxa"/>
            <w:vAlign w:val="center"/>
          </w:tcPr>
          <w:p w:rsidR="00D343C2" w:rsidRDefault="002B6B1C" w:rsidP="00CB146D">
            <w:pPr>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Tembakau jenis oriental bertangkai/bertulang</w:t>
            </w:r>
          </w:p>
        </w:tc>
      </w:tr>
      <w:tr w:rsidR="00D343C2" w:rsidTr="00F7287C">
        <w:tc>
          <w:tcPr>
            <w:tcW w:w="1206" w:type="dxa"/>
            <w:vAlign w:val="center"/>
          </w:tcPr>
          <w:p w:rsidR="00D343C2" w:rsidRDefault="002B6B1C" w:rsidP="00CB146D">
            <w:pPr>
              <w:rPr>
                <w:rFonts w:ascii="Times New Roman" w:eastAsia="Times New Roman" w:hAnsi="Times New Roman" w:cs="Times New Roman"/>
                <w:color w:val="000000"/>
              </w:rPr>
            </w:pPr>
            <w:r w:rsidRPr="00BE6EE7">
              <w:rPr>
                <w:rFonts w:ascii="Times New Roman" w:eastAsia="Times New Roman" w:hAnsi="Times New Roman" w:cs="Times New Roman"/>
                <w:color w:val="000000"/>
              </w:rPr>
              <w:t>2401.20.40</w:t>
            </w:r>
          </w:p>
        </w:tc>
        <w:tc>
          <w:tcPr>
            <w:tcW w:w="278" w:type="dxa"/>
            <w:vAlign w:val="center"/>
          </w:tcPr>
          <w:p w:rsidR="00D343C2" w:rsidRDefault="00D343C2" w:rsidP="00CB146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454" w:type="dxa"/>
            <w:vAlign w:val="center"/>
          </w:tcPr>
          <w:p w:rsidR="00D343C2" w:rsidRDefault="002B6B1C" w:rsidP="00CB146D">
            <w:pPr>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Tembakau jenis burley bertangkai/bertulang</w:t>
            </w:r>
          </w:p>
        </w:tc>
      </w:tr>
      <w:tr w:rsidR="00D343C2" w:rsidTr="00F7287C">
        <w:tc>
          <w:tcPr>
            <w:tcW w:w="1206" w:type="dxa"/>
            <w:vAlign w:val="center"/>
          </w:tcPr>
          <w:p w:rsidR="00D343C2" w:rsidRDefault="002B6B1C" w:rsidP="00CB146D">
            <w:pPr>
              <w:rPr>
                <w:rFonts w:ascii="Times New Roman" w:eastAsia="Times New Roman" w:hAnsi="Times New Roman" w:cs="Times New Roman"/>
                <w:color w:val="000000"/>
              </w:rPr>
            </w:pPr>
            <w:r w:rsidRPr="00BE6EE7">
              <w:rPr>
                <w:rFonts w:ascii="Times New Roman" w:eastAsia="Times New Roman" w:hAnsi="Times New Roman" w:cs="Times New Roman"/>
                <w:color w:val="000000"/>
              </w:rPr>
              <w:t>2401.20.50</w:t>
            </w:r>
          </w:p>
        </w:tc>
        <w:tc>
          <w:tcPr>
            <w:tcW w:w="278" w:type="dxa"/>
            <w:vAlign w:val="center"/>
          </w:tcPr>
          <w:p w:rsidR="00D343C2" w:rsidRDefault="00D343C2" w:rsidP="00CB146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454" w:type="dxa"/>
            <w:vAlign w:val="center"/>
          </w:tcPr>
          <w:p w:rsidR="00D343C2" w:rsidRDefault="002B6B1C" w:rsidP="00CB146D">
            <w:pPr>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Tembakau lain irisan, diolah dengan asapan</w:t>
            </w:r>
          </w:p>
        </w:tc>
      </w:tr>
      <w:tr w:rsidR="00D343C2" w:rsidTr="00F7287C">
        <w:tc>
          <w:tcPr>
            <w:tcW w:w="1206" w:type="dxa"/>
            <w:vAlign w:val="center"/>
          </w:tcPr>
          <w:p w:rsidR="00D343C2" w:rsidRDefault="002B6B1C" w:rsidP="00CB146D">
            <w:pPr>
              <w:rPr>
                <w:rFonts w:ascii="Times New Roman" w:eastAsia="Times New Roman" w:hAnsi="Times New Roman" w:cs="Times New Roman"/>
                <w:color w:val="000000"/>
              </w:rPr>
            </w:pPr>
            <w:r w:rsidRPr="00BE6EE7">
              <w:rPr>
                <w:rFonts w:ascii="Times New Roman" w:eastAsia="Times New Roman" w:hAnsi="Times New Roman" w:cs="Times New Roman"/>
                <w:color w:val="000000"/>
              </w:rPr>
              <w:t>2401.20.90</w:t>
            </w:r>
          </w:p>
        </w:tc>
        <w:tc>
          <w:tcPr>
            <w:tcW w:w="278" w:type="dxa"/>
            <w:vAlign w:val="center"/>
          </w:tcPr>
          <w:p w:rsidR="00D343C2" w:rsidRDefault="00D343C2" w:rsidP="00CB146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454" w:type="dxa"/>
            <w:vAlign w:val="center"/>
          </w:tcPr>
          <w:p w:rsidR="00D343C2" w:rsidRDefault="002B6B1C" w:rsidP="00CB146D">
            <w:pPr>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Tembakau lain bertangkai/bertulang daun</w:t>
            </w:r>
          </w:p>
        </w:tc>
      </w:tr>
      <w:tr w:rsidR="00D343C2" w:rsidTr="00F7287C">
        <w:tc>
          <w:tcPr>
            <w:tcW w:w="1206" w:type="dxa"/>
            <w:vAlign w:val="center"/>
          </w:tcPr>
          <w:p w:rsidR="00D343C2" w:rsidRDefault="002B6B1C" w:rsidP="00CB146D">
            <w:pPr>
              <w:rPr>
                <w:rFonts w:ascii="Times New Roman" w:eastAsia="Times New Roman" w:hAnsi="Times New Roman" w:cs="Times New Roman"/>
                <w:color w:val="000000"/>
              </w:rPr>
            </w:pPr>
            <w:r w:rsidRPr="00BE6EE7">
              <w:rPr>
                <w:rFonts w:ascii="Times New Roman" w:eastAsia="Times New Roman" w:hAnsi="Times New Roman" w:cs="Times New Roman"/>
                <w:color w:val="000000"/>
              </w:rPr>
              <w:t>2401.30.10</w:t>
            </w:r>
          </w:p>
        </w:tc>
        <w:tc>
          <w:tcPr>
            <w:tcW w:w="278" w:type="dxa"/>
            <w:vAlign w:val="center"/>
          </w:tcPr>
          <w:p w:rsidR="00D343C2" w:rsidRDefault="00D343C2" w:rsidP="00CB146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454" w:type="dxa"/>
            <w:vAlign w:val="center"/>
          </w:tcPr>
          <w:p w:rsidR="00D343C2" w:rsidRDefault="002B6B1C" w:rsidP="00CB146D">
            <w:pPr>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Sisa tembakau (batang tembakau)</w:t>
            </w:r>
          </w:p>
        </w:tc>
      </w:tr>
    </w:tbl>
    <w:p w:rsidR="000A41A1" w:rsidRDefault="0054555F" w:rsidP="00CB146D">
      <w:pPr>
        <w:spacing w:after="0" w:line="240" w:lineRule="auto"/>
        <w:ind w:firstLine="567"/>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 xml:space="preserve">Pengembangan ekspor di negara Eropa dan Amerika Serikat, yang merupakan negara-negara tujuan utama ekspor tembakau Indonesia, masih memiliki banyak hambatan. Meningkatnya kesadaran masyarakat negara maju terhadap kesehatan kemudian memunculkan kebijakan mengenai pembatasan tembakau yang kemudian dikenal dengan </w:t>
      </w:r>
      <w:r w:rsidRPr="00BE6EE7">
        <w:rPr>
          <w:rFonts w:ascii="Times New Roman" w:eastAsia="Times New Roman" w:hAnsi="Times New Roman" w:cs="Times New Roman"/>
          <w:i/>
          <w:color w:val="000000"/>
        </w:rPr>
        <w:t xml:space="preserve">Framework Convention on Tobacco Control </w:t>
      </w:r>
      <w:r w:rsidRPr="00BE6EE7">
        <w:rPr>
          <w:rFonts w:ascii="Times New Roman" w:eastAsia="Times New Roman" w:hAnsi="Times New Roman" w:cs="Times New Roman"/>
          <w:color w:val="000000"/>
        </w:rPr>
        <w:t xml:space="preserve">(FTCT). FTCT merupakan penjanjian internasional negara yang berada dibawah naungan </w:t>
      </w:r>
      <w:r w:rsidRPr="00BE6EE7">
        <w:rPr>
          <w:rFonts w:ascii="Times New Roman" w:eastAsia="Times New Roman" w:hAnsi="Times New Roman" w:cs="Times New Roman"/>
          <w:i/>
          <w:color w:val="000000"/>
        </w:rPr>
        <w:t xml:space="preserve">World Health Organization </w:t>
      </w:r>
      <w:r w:rsidRPr="00BE6EE7">
        <w:rPr>
          <w:rFonts w:ascii="Times New Roman" w:eastAsia="Times New Roman" w:hAnsi="Times New Roman" w:cs="Times New Roman"/>
          <w:color w:val="000000"/>
        </w:rPr>
        <w:t>(WHO) mengenai kontrol tembakau yang tidak hanya mengenai kesehatan, tetapi juga mengenai pemasaran, yang meliputi pengurangan pasokan, pembatasan industri, dan juga pajak</w:t>
      </w:r>
      <w:r w:rsidRPr="00BE6EE7">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lang w:val="id-ID"/>
        </w:rPr>
        <w:fldChar w:fldCharType="begin" w:fldLock="1"/>
      </w:r>
      <w:r w:rsidRPr="00BE6EE7">
        <w:rPr>
          <w:rFonts w:ascii="Times New Roman" w:eastAsia="Times New Roman" w:hAnsi="Times New Roman" w:cs="Times New Roman"/>
          <w:color w:val="000000"/>
          <w:lang w:val="id-ID"/>
        </w:rPr>
        <w:instrText>ADDIN CSL_CITATION {"citationItems":[{"id":"ITEM-1","itemData":{"abstract":"Татаркин А.И., Анимица Е.Г. Формирование парадигмальной теории региональной экономики // Экономика региона. 2012. № 3. С. 11-21.","author":[{"dropping-particle":"","family":"Suryana","given":"Diajeng Andini Putri","non-dropping-particle":"","parse-names":false,"suffix":""}],"container-title":"JOM Fisip","id":"ITEM-1","issue":"1","issued":{"date-parts":[["2016"]]},"page":"1-14","title":"Pengaruh Kebijakan Pengambangan IHT (Industri Hasil Tembakau) terhadap Ekspor Tembakau Indonesia ke Jerman (2009-2012)","type":"article-journal","volume":"3"},"uris":["http://www.mendeley.com/documents/?uuid=4caadfde-97f5-411d-8682-cea9bb749322"]}],"mendeley":{"formattedCitation":"(Suryana, 2016)","plainTextFormattedCitation":"(Suryana, 2016)","previouslyFormattedCitation":"(Suryana, 2016)"},"properties":{"noteIndex":0},"schema":"https://github.com/citation-style-language/schema/raw/master/csl-citation.json"}</w:instrText>
      </w:r>
      <w:r w:rsidRPr="00BE6EE7">
        <w:rPr>
          <w:rFonts w:ascii="Times New Roman" w:eastAsia="Times New Roman" w:hAnsi="Times New Roman" w:cs="Times New Roman"/>
          <w:color w:val="000000"/>
          <w:lang w:val="id-ID"/>
        </w:rPr>
        <w:fldChar w:fldCharType="separate"/>
      </w:r>
      <w:r w:rsidRPr="00BE6EE7">
        <w:rPr>
          <w:rFonts w:ascii="Times New Roman" w:eastAsia="Times New Roman" w:hAnsi="Times New Roman" w:cs="Times New Roman"/>
          <w:noProof/>
          <w:color w:val="000000"/>
          <w:lang w:val="id-ID"/>
        </w:rPr>
        <w:t>(Suryana, 2016)</w:t>
      </w:r>
      <w:r w:rsidRPr="00BE6EE7">
        <w:rPr>
          <w:rFonts w:ascii="Times New Roman" w:eastAsia="Times New Roman" w:hAnsi="Times New Roman" w:cs="Times New Roman"/>
          <w:color w:val="000000"/>
          <w:lang w:val="id-ID"/>
        </w:rPr>
        <w:fldChar w:fldCharType="end"/>
      </w:r>
      <w:r w:rsidRPr="00BE6EE7">
        <w:rPr>
          <w:rFonts w:ascii="Times New Roman" w:eastAsia="Times New Roman" w:hAnsi="Times New Roman" w:cs="Times New Roman"/>
          <w:color w:val="000000"/>
          <w:lang w:val="id-ID"/>
        </w:rPr>
        <w:t>.</w:t>
      </w:r>
      <w:r w:rsidRPr="00BE6EE7">
        <w:rPr>
          <w:rFonts w:ascii="Times New Roman" w:eastAsia="Times New Roman" w:hAnsi="Times New Roman" w:cs="Times New Roman"/>
          <w:color w:val="000000"/>
        </w:rPr>
        <w:t xml:space="preserve"> Tantangan pengembangan Industri Hasil Tembakau (IHT) di Indonesia tidak hanya berasal dari luar, namun juga berasal dari dalam negeri. Pengesahan kebijakan No. 117/M-IND/PER/10/2009 tentang Pengamanan Bahan yang Mengandung Zat Adiktif  </w:t>
      </w:r>
      <w:r w:rsidRPr="00BE6EE7">
        <w:rPr>
          <w:rFonts w:ascii="Times New Roman" w:eastAsia="Times New Roman" w:hAnsi="Times New Roman" w:cs="Times New Roman"/>
          <w:color w:val="000000"/>
        </w:rPr>
        <w:lastRenderedPageBreak/>
        <w:t>berupa produk tembakau bagi kesehatan juga ikut merugikan IHT skala kecil yang tidak mampu memenuhi syarat-syarat yang telah ditentukan, kondisi ini diperburuk dengan adanya aktivitas impor tembakau yang terus meningkat dari tahun ke tahun. Pajak ekspor yang meningkat juga turut memberikan dampak negatif pada daya saing komoditas tembakau Indonesia di pasar internasional</w:t>
      </w:r>
      <w:r w:rsidRPr="00BE6EE7">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lang w:val="id-ID"/>
        </w:rPr>
        <w:fldChar w:fldCharType="begin" w:fldLock="1"/>
      </w:r>
      <w:r w:rsidRPr="00BE6EE7">
        <w:rPr>
          <w:rFonts w:ascii="Times New Roman" w:eastAsia="Times New Roman" w:hAnsi="Times New Roman" w:cs="Times New Roman"/>
          <w:color w:val="000000"/>
          <w:lang w:val="id-ID"/>
        </w:rPr>
        <w:instrText>ADDIN CSL_CITATION {"citationItems":[{"id":"ITEM-1","itemData":{"abstract":"Татаркин А.И., Анимица Е.Г. Формирование парадигмальной теории региональной экономики // Экономика региона. 2012. № 3. С. 11-21.","author":[{"dropping-particle":"","family":"Suryana","given":"Diajeng Andini Putri","non-dropping-particle":"","parse-names":false,"suffix":""}],"container-title":"JOM Fisip","id":"ITEM-1","issue":"1","issued":{"date-parts":[["2016"]]},"page":"1-14","title":"Pengaruh Kebijakan Pengambangan IHT (Industri Hasil Tembakau) terhadap Ekspor Tembakau Indonesia ke Jerman (2009-2012)","type":"article-journal","volume":"3"},"uris":["http://www.mendeley.com/documents/?uuid=4caadfde-97f5-411d-8682-cea9bb749322"]}],"mendeley":{"formattedCitation":"(Suryana, 2016)","plainTextFormattedCitation":"(Suryana, 2016)","previouslyFormattedCitation":"(Suryana, 2016)"},"properties":{"noteIndex":0},"schema":"https://github.com/citation-style-language/schema/raw/master/csl-citation.json"}</w:instrText>
      </w:r>
      <w:r w:rsidRPr="00BE6EE7">
        <w:rPr>
          <w:rFonts w:ascii="Times New Roman" w:eastAsia="Times New Roman" w:hAnsi="Times New Roman" w:cs="Times New Roman"/>
          <w:color w:val="000000"/>
          <w:lang w:val="id-ID"/>
        </w:rPr>
        <w:fldChar w:fldCharType="separate"/>
      </w:r>
      <w:r w:rsidRPr="00BE6EE7">
        <w:rPr>
          <w:rFonts w:ascii="Times New Roman" w:eastAsia="Times New Roman" w:hAnsi="Times New Roman" w:cs="Times New Roman"/>
          <w:noProof/>
          <w:color w:val="000000"/>
          <w:lang w:val="id-ID"/>
        </w:rPr>
        <w:t>(Suryana, 2016)</w:t>
      </w:r>
      <w:r w:rsidRPr="00BE6EE7">
        <w:rPr>
          <w:rFonts w:ascii="Times New Roman" w:eastAsia="Times New Roman" w:hAnsi="Times New Roman" w:cs="Times New Roman"/>
          <w:color w:val="000000"/>
          <w:lang w:val="id-ID"/>
        </w:rPr>
        <w:fldChar w:fldCharType="end"/>
      </w:r>
      <w:r w:rsidR="00C65C6B" w:rsidRPr="00BE6EE7">
        <w:rPr>
          <w:rFonts w:ascii="Times New Roman" w:eastAsia="Times New Roman" w:hAnsi="Times New Roman" w:cs="Times New Roman"/>
          <w:color w:val="000000"/>
        </w:rPr>
        <w:t>.</w:t>
      </w:r>
    </w:p>
    <w:p w:rsidR="00402727" w:rsidRPr="00BE6EE7" w:rsidRDefault="00402727" w:rsidP="00CB146D">
      <w:pPr>
        <w:spacing w:after="0" w:line="240" w:lineRule="auto"/>
        <w:ind w:firstLine="567"/>
        <w:jc w:val="both"/>
        <w:rPr>
          <w:rFonts w:ascii="Times New Roman" w:eastAsia="Times New Roman" w:hAnsi="Times New Roman" w:cs="Times New Roman"/>
          <w:color w:val="000000"/>
        </w:rPr>
      </w:pPr>
    </w:p>
    <w:p w:rsidR="00B44F42" w:rsidRDefault="00014BE1" w:rsidP="00CB146D">
      <w:pPr>
        <w:spacing w:after="0" w:line="240" w:lineRule="auto"/>
        <w:jc w:val="both"/>
        <w:rPr>
          <w:rFonts w:ascii="Times New Roman" w:hAnsi="Times New Roman" w:cs="Times New Roman"/>
          <w:b/>
          <w:lang w:val="id-ID"/>
        </w:rPr>
      </w:pPr>
      <w:r>
        <w:rPr>
          <w:rFonts w:ascii="Times New Roman" w:hAnsi="Times New Roman" w:cs="Times New Roman"/>
          <w:b/>
          <w:lang w:val="id-ID"/>
        </w:rPr>
        <w:t>Analisis Indikator Daya Saing Ekspor Komoditas Tembakau Indonesia di Negara Tujuan Utama</w:t>
      </w:r>
    </w:p>
    <w:p w:rsidR="004720CE" w:rsidRPr="00B44F42" w:rsidRDefault="004720CE" w:rsidP="00CB146D">
      <w:pPr>
        <w:spacing w:after="0" w:line="240" w:lineRule="auto"/>
        <w:jc w:val="both"/>
        <w:rPr>
          <w:rFonts w:ascii="Times New Roman" w:hAnsi="Times New Roman" w:cs="Times New Roman"/>
          <w:b/>
          <w:lang w:val="id-ID"/>
        </w:rPr>
      </w:pPr>
    </w:p>
    <w:p w:rsidR="000A41A1" w:rsidRPr="00BE6EE7" w:rsidRDefault="009F122B" w:rsidP="00CB146D">
      <w:pPr>
        <w:spacing w:after="0" w:line="240" w:lineRule="auto"/>
        <w:jc w:val="both"/>
        <w:rPr>
          <w:rFonts w:ascii="Times New Roman" w:hAnsi="Times New Roman" w:cs="Times New Roman"/>
          <w:b/>
          <w:i/>
          <w:lang w:val="id-ID"/>
        </w:rPr>
      </w:pPr>
      <w:r w:rsidRPr="00BE6EE7">
        <w:rPr>
          <w:rFonts w:ascii="Times New Roman" w:hAnsi="Times New Roman" w:cs="Times New Roman"/>
          <w:b/>
          <w:i/>
          <w:lang w:val="id-ID"/>
        </w:rPr>
        <w:t xml:space="preserve">Intra Industry Trade </w:t>
      </w:r>
      <w:r w:rsidRPr="00BE6EE7">
        <w:rPr>
          <w:rFonts w:ascii="Times New Roman" w:hAnsi="Times New Roman" w:cs="Times New Roman"/>
          <w:b/>
          <w:lang w:val="id-ID"/>
        </w:rPr>
        <w:t>(I</w:t>
      </w:r>
      <w:r w:rsidR="000A41A1" w:rsidRPr="00BE6EE7">
        <w:rPr>
          <w:rFonts w:ascii="Times New Roman" w:hAnsi="Times New Roman" w:cs="Times New Roman"/>
          <w:b/>
          <w:lang w:val="id-ID"/>
        </w:rPr>
        <w:t>IT)</w:t>
      </w:r>
    </w:p>
    <w:p w:rsidR="009F122B" w:rsidRPr="00BE6EE7" w:rsidRDefault="009F122B" w:rsidP="00CB146D">
      <w:pPr>
        <w:spacing w:after="0" w:line="240" w:lineRule="auto"/>
        <w:ind w:firstLine="567"/>
        <w:jc w:val="both"/>
        <w:rPr>
          <w:rFonts w:ascii="Times New Roman" w:eastAsia="Times New Roman" w:hAnsi="Times New Roman" w:cs="Times New Roman"/>
          <w:color w:val="000000"/>
          <w:lang w:val="id-ID"/>
        </w:rPr>
      </w:pPr>
      <w:r w:rsidRPr="00BE6EE7">
        <w:rPr>
          <w:rFonts w:ascii="Times New Roman" w:eastAsia="Times New Roman" w:hAnsi="Times New Roman" w:cs="Times New Roman"/>
          <w:color w:val="000000"/>
        </w:rPr>
        <w:t xml:space="preserve">Daya saing ekspor tembakau di suatu negara salah satunya dapat dilihat dari integrasi perdagangan yang terjadi diantara kedua negara yang bekerjasama. Integrasi perdagangan dapat diketahui dari nilai ekspor dan nilai impor komoditas tembakau diantara kedua negara tersebut. Berikut merupakan hasil analisis </w:t>
      </w:r>
      <w:r w:rsidRPr="00BE6EE7">
        <w:rPr>
          <w:rFonts w:ascii="Times New Roman" w:eastAsia="Times New Roman" w:hAnsi="Times New Roman" w:cs="Times New Roman"/>
          <w:i/>
          <w:color w:val="000000"/>
        </w:rPr>
        <w:t xml:space="preserve">Intra Industry Trade </w:t>
      </w:r>
      <w:r w:rsidRPr="00BE6EE7">
        <w:rPr>
          <w:rFonts w:ascii="Times New Roman" w:eastAsia="Times New Roman" w:hAnsi="Times New Roman" w:cs="Times New Roman"/>
          <w:color w:val="000000"/>
        </w:rPr>
        <w:t>(IIT) komoditas tembakau Indonesia di negara tujuan utama sebelum dan saat Covid-19</w:t>
      </w:r>
      <w:r w:rsidRPr="00BE6EE7">
        <w:rPr>
          <w:rFonts w:ascii="Times New Roman" w:eastAsia="Times New Roman" w:hAnsi="Times New Roman" w:cs="Times New Roman"/>
          <w:color w:val="000000"/>
          <w:lang w:val="id-ID"/>
        </w:rPr>
        <w:t>.</w:t>
      </w:r>
    </w:p>
    <w:p w:rsidR="006018CB" w:rsidRPr="00BE6EE7" w:rsidRDefault="006018CB" w:rsidP="00CB146D">
      <w:pPr>
        <w:spacing w:after="0" w:line="240" w:lineRule="auto"/>
        <w:ind w:left="896" w:hanging="896"/>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Tabel 2</w:t>
      </w:r>
      <w:r w:rsidR="00C038D5">
        <w:rPr>
          <w:rFonts w:ascii="Times New Roman" w:eastAsia="Times New Roman" w:hAnsi="Times New Roman" w:cs="Times New Roman"/>
          <w:color w:val="000000"/>
          <w:lang w:val="id-ID"/>
        </w:rPr>
        <w:t>.</w:t>
      </w:r>
      <w:r w:rsidRPr="00BE6EE7">
        <w:rPr>
          <w:rFonts w:ascii="Times New Roman" w:eastAsia="Times New Roman" w:hAnsi="Times New Roman" w:cs="Times New Roman"/>
          <w:color w:val="000000"/>
        </w:rPr>
        <w:t xml:space="preserve"> </w:t>
      </w:r>
      <w:r w:rsidR="000A41A1" w:rsidRPr="00BE6EE7">
        <w:rPr>
          <w:rFonts w:ascii="Times New Roman" w:eastAsia="Times New Roman" w:hAnsi="Times New Roman" w:cs="Times New Roman"/>
          <w:color w:val="000000"/>
        </w:rPr>
        <w:t xml:space="preserve">Nilai IIT </w:t>
      </w:r>
      <w:r w:rsidR="00402727">
        <w:rPr>
          <w:rFonts w:ascii="Times New Roman" w:eastAsia="Times New Roman" w:hAnsi="Times New Roman" w:cs="Times New Roman"/>
          <w:color w:val="000000"/>
        </w:rPr>
        <w:t>komoditas tembakau I</w:t>
      </w:r>
      <w:r w:rsidR="00402727" w:rsidRPr="00BE6EE7">
        <w:rPr>
          <w:rFonts w:ascii="Times New Roman" w:eastAsia="Times New Roman" w:hAnsi="Times New Roman" w:cs="Times New Roman"/>
          <w:color w:val="000000"/>
        </w:rPr>
        <w:t>ndonesia di negara tujuan utama</w:t>
      </w:r>
      <w:r w:rsidR="00402727" w:rsidRPr="00BE6EE7">
        <w:rPr>
          <w:rFonts w:ascii="Times New Roman" w:eastAsia="Times New Roman" w:hAnsi="Times New Roman" w:cs="Times New Roman"/>
          <w:color w:val="000000"/>
          <w:lang w:val="id-ID"/>
        </w:rPr>
        <w:t xml:space="preserve"> </w:t>
      </w:r>
      <w:r w:rsidR="00402727" w:rsidRPr="00BE6EE7">
        <w:rPr>
          <w:rFonts w:ascii="Times New Roman" w:eastAsia="Times New Roman" w:hAnsi="Times New Roman" w:cs="Times New Roman"/>
          <w:color w:val="000000"/>
        </w:rPr>
        <w:t>tahun 2018 – 2021</w:t>
      </w:r>
    </w:p>
    <w:tbl>
      <w:tblPr>
        <w:tblStyle w:val="TableGrid"/>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134"/>
        <w:gridCol w:w="1559"/>
        <w:gridCol w:w="1134"/>
        <w:gridCol w:w="1701"/>
      </w:tblGrid>
      <w:tr w:rsidR="00BB217A" w:rsidRPr="00762477" w:rsidTr="0036229C">
        <w:tc>
          <w:tcPr>
            <w:tcW w:w="2410" w:type="dxa"/>
            <w:vMerge w:val="restart"/>
            <w:vAlign w:val="center"/>
            <w:hideMark/>
          </w:tcPr>
          <w:p w:rsidR="00BB217A" w:rsidRPr="00F7287C" w:rsidRDefault="00BB217A"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Negara</w:t>
            </w:r>
          </w:p>
        </w:tc>
        <w:tc>
          <w:tcPr>
            <w:tcW w:w="2693" w:type="dxa"/>
            <w:gridSpan w:val="2"/>
            <w:vAlign w:val="center"/>
            <w:hideMark/>
          </w:tcPr>
          <w:p w:rsidR="00BB217A" w:rsidRPr="00F7287C" w:rsidRDefault="00BB217A"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Sebelum Covid-19</w:t>
            </w:r>
          </w:p>
        </w:tc>
        <w:tc>
          <w:tcPr>
            <w:tcW w:w="2835" w:type="dxa"/>
            <w:gridSpan w:val="2"/>
            <w:vAlign w:val="center"/>
            <w:hideMark/>
          </w:tcPr>
          <w:p w:rsidR="00BB217A" w:rsidRPr="00F7287C" w:rsidRDefault="00BB217A"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Saat Covid-19</w:t>
            </w:r>
          </w:p>
        </w:tc>
      </w:tr>
      <w:tr w:rsidR="00BB217A" w:rsidRPr="00762477" w:rsidTr="0036229C">
        <w:tc>
          <w:tcPr>
            <w:tcW w:w="2410" w:type="dxa"/>
            <w:vMerge/>
            <w:tcBorders>
              <w:bottom w:val="single" w:sz="4" w:space="0" w:color="auto"/>
            </w:tcBorders>
            <w:vAlign w:val="center"/>
            <w:hideMark/>
          </w:tcPr>
          <w:p w:rsidR="00BB217A" w:rsidRPr="00F7287C" w:rsidRDefault="00BB217A" w:rsidP="00CB146D">
            <w:pPr>
              <w:rPr>
                <w:rFonts w:ascii="Times New Roman" w:eastAsia="Times New Roman" w:hAnsi="Times New Roman" w:cs="Times New Roman"/>
                <w:color w:val="000000"/>
                <w:sz w:val="20"/>
                <w:szCs w:val="20"/>
              </w:rPr>
            </w:pPr>
          </w:p>
        </w:tc>
        <w:tc>
          <w:tcPr>
            <w:tcW w:w="1134" w:type="dxa"/>
            <w:tcBorders>
              <w:bottom w:val="single" w:sz="4" w:space="0" w:color="auto"/>
            </w:tcBorders>
            <w:vAlign w:val="center"/>
            <w:hideMark/>
          </w:tcPr>
          <w:p w:rsidR="00BB217A" w:rsidRPr="00F7287C" w:rsidRDefault="00BB217A"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IIT</w:t>
            </w:r>
          </w:p>
        </w:tc>
        <w:tc>
          <w:tcPr>
            <w:tcW w:w="1559" w:type="dxa"/>
            <w:tcBorders>
              <w:bottom w:val="single" w:sz="4" w:space="0" w:color="auto"/>
            </w:tcBorders>
            <w:vAlign w:val="center"/>
            <w:hideMark/>
          </w:tcPr>
          <w:p w:rsidR="00BB217A" w:rsidRPr="00F7287C" w:rsidRDefault="00BB217A"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Indikator</w:t>
            </w:r>
          </w:p>
        </w:tc>
        <w:tc>
          <w:tcPr>
            <w:tcW w:w="1134" w:type="dxa"/>
            <w:tcBorders>
              <w:bottom w:val="single" w:sz="4" w:space="0" w:color="auto"/>
            </w:tcBorders>
            <w:vAlign w:val="center"/>
            <w:hideMark/>
          </w:tcPr>
          <w:p w:rsidR="00BB217A" w:rsidRPr="00F7287C" w:rsidRDefault="00BB217A"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IIT</w:t>
            </w:r>
          </w:p>
        </w:tc>
        <w:tc>
          <w:tcPr>
            <w:tcW w:w="1701" w:type="dxa"/>
            <w:tcBorders>
              <w:bottom w:val="single" w:sz="4" w:space="0" w:color="auto"/>
            </w:tcBorders>
            <w:vAlign w:val="center"/>
            <w:hideMark/>
          </w:tcPr>
          <w:p w:rsidR="00BB217A" w:rsidRPr="00F7287C" w:rsidRDefault="00BB217A" w:rsidP="00CB146D">
            <w:pPr>
              <w:jc w:val="cente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Indikator</w:t>
            </w:r>
          </w:p>
        </w:tc>
      </w:tr>
      <w:tr w:rsidR="00BB217A" w:rsidRPr="00762477" w:rsidTr="0036229C">
        <w:tc>
          <w:tcPr>
            <w:tcW w:w="2410" w:type="dxa"/>
            <w:tcBorders>
              <w:bottom w:val="nil"/>
            </w:tcBorders>
            <w:vAlign w:val="center"/>
            <w:hideMark/>
          </w:tcPr>
          <w:p w:rsidR="00BB217A" w:rsidRPr="00F7287C" w:rsidRDefault="00BB217A" w:rsidP="00CB146D">
            <w:pP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Belgia</w:t>
            </w:r>
          </w:p>
        </w:tc>
        <w:tc>
          <w:tcPr>
            <w:tcW w:w="1134" w:type="dxa"/>
            <w:tcBorders>
              <w:bottom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1,19</w:t>
            </w:r>
          </w:p>
        </w:tc>
        <w:tc>
          <w:tcPr>
            <w:tcW w:w="1559" w:type="dxa"/>
            <w:tcBorders>
              <w:bottom w:val="nil"/>
            </w:tcBorders>
            <w:vAlign w:val="center"/>
            <w:hideMark/>
          </w:tcPr>
          <w:p w:rsidR="00BB217A" w:rsidRPr="00F7287C" w:rsidRDefault="00BB217A" w:rsidP="00CB146D">
            <w:pPr>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Lemah</w:t>
            </w:r>
          </w:p>
        </w:tc>
        <w:tc>
          <w:tcPr>
            <w:tcW w:w="1134" w:type="dxa"/>
            <w:tcBorders>
              <w:bottom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6,74</w:t>
            </w:r>
          </w:p>
        </w:tc>
        <w:tc>
          <w:tcPr>
            <w:tcW w:w="1701" w:type="dxa"/>
            <w:tcBorders>
              <w:bottom w:val="nil"/>
            </w:tcBorders>
            <w:vAlign w:val="center"/>
            <w:hideMark/>
          </w:tcPr>
          <w:p w:rsidR="00BB217A" w:rsidRPr="00F7287C" w:rsidRDefault="00BB217A" w:rsidP="00CB146D">
            <w:pPr>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Lemah</w:t>
            </w:r>
          </w:p>
        </w:tc>
      </w:tr>
      <w:tr w:rsidR="00BB217A" w:rsidRPr="00762477" w:rsidTr="0036229C">
        <w:tc>
          <w:tcPr>
            <w:tcW w:w="2410" w:type="dxa"/>
            <w:tcBorders>
              <w:top w:val="nil"/>
              <w:bottom w:val="nil"/>
            </w:tcBorders>
            <w:vAlign w:val="center"/>
            <w:hideMark/>
          </w:tcPr>
          <w:p w:rsidR="00BB217A" w:rsidRPr="00F7287C" w:rsidRDefault="00BB217A" w:rsidP="00CB146D">
            <w:pP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Singapura</w:t>
            </w:r>
          </w:p>
        </w:tc>
        <w:tc>
          <w:tcPr>
            <w:tcW w:w="1134" w:type="dxa"/>
            <w:tcBorders>
              <w:top w:val="nil"/>
              <w:bottom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4,66</w:t>
            </w:r>
          </w:p>
        </w:tc>
        <w:tc>
          <w:tcPr>
            <w:tcW w:w="1559" w:type="dxa"/>
            <w:tcBorders>
              <w:top w:val="nil"/>
              <w:bottom w:val="nil"/>
            </w:tcBorders>
            <w:vAlign w:val="center"/>
            <w:hideMark/>
          </w:tcPr>
          <w:p w:rsidR="00BB217A" w:rsidRPr="00F7287C" w:rsidRDefault="00BB217A" w:rsidP="00CB146D">
            <w:pPr>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Lemah</w:t>
            </w:r>
          </w:p>
        </w:tc>
        <w:tc>
          <w:tcPr>
            <w:tcW w:w="1134" w:type="dxa"/>
            <w:tcBorders>
              <w:top w:val="nil"/>
              <w:bottom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2,45</w:t>
            </w:r>
          </w:p>
        </w:tc>
        <w:tc>
          <w:tcPr>
            <w:tcW w:w="1701" w:type="dxa"/>
            <w:tcBorders>
              <w:top w:val="nil"/>
              <w:bottom w:val="nil"/>
            </w:tcBorders>
            <w:vAlign w:val="center"/>
            <w:hideMark/>
          </w:tcPr>
          <w:p w:rsidR="00BB217A" w:rsidRPr="00F7287C" w:rsidRDefault="00BB217A" w:rsidP="00CB146D">
            <w:pPr>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Lemah</w:t>
            </w:r>
          </w:p>
        </w:tc>
      </w:tr>
      <w:tr w:rsidR="00BB217A" w:rsidRPr="00762477" w:rsidTr="0036229C">
        <w:tc>
          <w:tcPr>
            <w:tcW w:w="2410" w:type="dxa"/>
            <w:tcBorders>
              <w:top w:val="nil"/>
              <w:bottom w:val="nil"/>
            </w:tcBorders>
            <w:vAlign w:val="center"/>
            <w:hideMark/>
          </w:tcPr>
          <w:p w:rsidR="00BB217A" w:rsidRPr="00F7287C" w:rsidRDefault="00F7287C" w:rsidP="00CB146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Republik </w:t>
            </w:r>
            <w:r w:rsidR="00BB217A" w:rsidRPr="00F7287C">
              <w:rPr>
                <w:rFonts w:ascii="Times New Roman" w:eastAsia="Times New Roman" w:hAnsi="Times New Roman" w:cs="Times New Roman"/>
                <w:color w:val="000000"/>
                <w:sz w:val="20"/>
                <w:szCs w:val="20"/>
              </w:rPr>
              <w:t>Dominika</w:t>
            </w:r>
          </w:p>
        </w:tc>
        <w:tc>
          <w:tcPr>
            <w:tcW w:w="1134" w:type="dxa"/>
            <w:tcBorders>
              <w:top w:val="nil"/>
              <w:bottom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34,27</w:t>
            </w:r>
          </w:p>
        </w:tc>
        <w:tc>
          <w:tcPr>
            <w:tcW w:w="1559" w:type="dxa"/>
            <w:tcBorders>
              <w:top w:val="nil"/>
              <w:bottom w:val="nil"/>
            </w:tcBorders>
            <w:vAlign w:val="center"/>
            <w:hideMark/>
          </w:tcPr>
          <w:p w:rsidR="00BB217A" w:rsidRPr="00F7287C" w:rsidRDefault="00BB217A" w:rsidP="00CB146D">
            <w:pPr>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Sedang</w:t>
            </w:r>
          </w:p>
        </w:tc>
        <w:tc>
          <w:tcPr>
            <w:tcW w:w="1134" w:type="dxa"/>
            <w:tcBorders>
              <w:top w:val="nil"/>
              <w:bottom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21,90</w:t>
            </w:r>
          </w:p>
        </w:tc>
        <w:tc>
          <w:tcPr>
            <w:tcW w:w="1701" w:type="dxa"/>
            <w:tcBorders>
              <w:top w:val="nil"/>
              <w:bottom w:val="nil"/>
            </w:tcBorders>
            <w:vAlign w:val="center"/>
            <w:hideMark/>
          </w:tcPr>
          <w:p w:rsidR="00BB217A" w:rsidRPr="00F7287C" w:rsidRDefault="00BB217A" w:rsidP="00CB146D">
            <w:pPr>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Lemah</w:t>
            </w:r>
          </w:p>
        </w:tc>
      </w:tr>
      <w:tr w:rsidR="00BB217A" w:rsidRPr="00762477" w:rsidTr="0036229C">
        <w:tc>
          <w:tcPr>
            <w:tcW w:w="2410" w:type="dxa"/>
            <w:tcBorders>
              <w:top w:val="nil"/>
              <w:bottom w:val="nil"/>
            </w:tcBorders>
            <w:vAlign w:val="center"/>
            <w:hideMark/>
          </w:tcPr>
          <w:p w:rsidR="00BB217A" w:rsidRPr="00F7287C" w:rsidRDefault="00BB217A" w:rsidP="00CB146D">
            <w:pP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Sri Lanka</w:t>
            </w:r>
          </w:p>
        </w:tc>
        <w:tc>
          <w:tcPr>
            <w:tcW w:w="1134" w:type="dxa"/>
            <w:tcBorders>
              <w:top w:val="nil"/>
              <w:bottom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39,59</w:t>
            </w:r>
          </w:p>
        </w:tc>
        <w:tc>
          <w:tcPr>
            <w:tcW w:w="1559" w:type="dxa"/>
            <w:tcBorders>
              <w:top w:val="nil"/>
              <w:bottom w:val="nil"/>
            </w:tcBorders>
            <w:vAlign w:val="center"/>
            <w:hideMark/>
          </w:tcPr>
          <w:p w:rsidR="00BB217A" w:rsidRPr="00F7287C" w:rsidRDefault="00BB217A" w:rsidP="00CB146D">
            <w:pPr>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Sedang</w:t>
            </w:r>
          </w:p>
        </w:tc>
        <w:tc>
          <w:tcPr>
            <w:tcW w:w="1134" w:type="dxa"/>
            <w:tcBorders>
              <w:top w:val="nil"/>
              <w:bottom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12,94</w:t>
            </w:r>
          </w:p>
        </w:tc>
        <w:tc>
          <w:tcPr>
            <w:tcW w:w="1701" w:type="dxa"/>
            <w:tcBorders>
              <w:top w:val="nil"/>
              <w:bottom w:val="nil"/>
            </w:tcBorders>
            <w:vAlign w:val="center"/>
            <w:hideMark/>
          </w:tcPr>
          <w:p w:rsidR="00BB217A" w:rsidRPr="00F7287C" w:rsidRDefault="00BB217A" w:rsidP="00CB146D">
            <w:pPr>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Lemah</w:t>
            </w:r>
          </w:p>
        </w:tc>
      </w:tr>
      <w:tr w:rsidR="00BB217A" w:rsidRPr="00762477" w:rsidTr="0036229C">
        <w:tc>
          <w:tcPr>
            <w:tcW w:w="2410" w:type="dxa"/>
            <w:tcBorders>
              <w:top w:val="nil"/>
              <w:bottom w:val="nil"/>
            </w:tcBorders>
            <w:vAlign w:val="center"/>
            <w:hideMark/>
          </w:tcPr>
          <w:p w:rsidR="00BB217A" w:rsidRPr="00F7287C" w:rsidRDefault="00BB217A" w:rsidP="00CB146D">
            <w:pP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Jerman</w:t>
            </w:r>
          </w:p>
        </w:tc>
        <w:tc>
          <w:tcPr>
            <w:tcW w:w="1134" w:type="dxa"/>
            <w:tcBorders>
              <w:top w:val="nil"/>
              <w:bottom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76,09</w:t>
            </w:r>
          </w:p>
        </w:tc>
        <w:tc>
          <w:tcPr>
            <w:tcW w:w="1559" w:type="dxa"/>
            <w:tcBorders>
              <w:top w:val="nil"/>
              <w:bottom w:val="nil"/>
            </w:tcBorders>
            <w:vAlign w:val="center"/>
            <w:hideMark/>
          </w:tcPr>
          <w:p w:rsidR="00BB217A" w:rsidRPr="00F7287C" w:rsidRDefault="00F7287C" w:rsidP="00CB146D">
            <w:pP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Sangat </w:t>
            </w:r>
            <w:r w:rsidR="00BB217A" w:rsidRPr="00F7287C">
              <w:rPr>
                <w:rFonts w:ascii="Times New Roman" w:eastAsia="Times New Roman" w:hAnsi="Times New Roman" w:cs="Times New Roman"/>
                <w:color w:val="000000"/>
                <w:sz w:val="20"/>
                <w:szCs w:val="20"/>
                <w:lang w:val="en-US"/>
              </w:rPr>
              <w:t>kuat</w:t>
            </w:r>
          </w:p>
        </w:tc>
        <w:tc>
          <w:tcPr>
            <w:tcW w:w="1134" w:type="dxa"/>
            <w:tcBorders>
              <w:top w:val="nil"/>
              <w:bottom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83,58</w:t>
            </w:r>
          </w:p>
        </w:tc>
        <w:tc>
          <w:tcPr>
            <w:tcW w:w="1701" w:type="dxa"/>
            <w:tcBorders>
              <w:top w:val="nil"/>
              <w:bottom w:val="nil"/>
            </w:tcBorders>
            <w:vAlign w:val="center"/>
            <w:hideMark/>
          </w:tcPr>
          <w:p w:rsidR="00BB217A" w:rsidRPr="00F7287C" w:rsidRDefault="00F7287C" w:rsidP="00CB146D">
            <w:pP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Sangat </w:t>
            </w:r>
            <w:r w:rsidR="00BB217A" w:rsidRPr="00F7287C">
              <w:rPr>
                <w:rFonts w:ascii="Times New Roman" w:eastAsia="Times New Roman" w:hAnsi="Times New Roman" w:cs="Times New Roman"/>
                <w:color w:val="000000"/>
                <w:sz w:val="20"/>
                <w:szCs w:val="20"/>
                <w:lang w:val="en-US"/>
              </w:rPr>
              <w:t>kuat</w:t>
            </w:r>
          </w:p>
        </w:tc>
      </w:tr>
      <w:tr w:rsidR="00BB217A" w:rsidRPr="00762477" w:rsidTr="0036229C">
        <w:tc>
          <w:tcPr>
            <w:tcW w:w="2410" w:type="dxa"/>
            <w:tcBorders>
              <w:top w:val="nil"/>
              <w:bottom w:val="nil"/>
            </w:tcBorders>
            <w:vAlign w:val="center"/>
            <w:hideMark/>
          </w:tcPr>
          <w:p w:rsidR="00BB217A" w:rsidRPr="00F7287C" w:rsidRDefault="00BB217A" w:rsidP="00CB146D">
            <w:pP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Belanda</w:t>
            </w:r>
          </w:p>
        </w:tc>
        <w:tc>
          <w:tcPr>
            <w:tcW w:w="1134" w:type="dxa"/>
            <w:tcBorders>
              <w:top w:val="nil"/>
              <w:bottom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95,74</w:t>
            </w:r>
          </w:p>
        </w:tc>
        <w:tc>
          <w:tcPr>
            <w:tcW w:w="1559" w:type="dxa"/>
            <w:tcBorders>
              <w:top w:val="nil"/>
              <w:bottom w:val="nil"/>
            </w:tcBorders>
            <w:vAlign w:val="center"/>
            <w:hideMark/>
          </w:tcPr>
          <w:p w:rsidR="00BB217A" w:rsidRPr="00F7287C" w:rsidRDefault="00F7287C" w:rsidP="00CB146D">
            <w:pP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Sangat </w:t>
            </w:r>
            <w:r w:rsidR="00BB217A" w:rsidRPr="00F7287C">
              <w:rPr>
                <w:rFonts w:ascii="Times New Roman" w:eastAsia="Times New Roman" w:hAnsi="Times New Roman" w:cs="Times New Roman"/>
                <w:color w:val="000000"/>
                <w:sz w:val="20"/>
                <w:szCs w:val="20"/>
                <w:lang w:val="en-US"/>
              </w:rPr>
              <w:t>kuat</w:t>
            </w:r>
          </w:p>
        </w:tc>
        <w:tc>
          <w:tcPr>
            <w:tcW w:w="1134" w:type="dxa"/>
            <w:tcBorders>
              <w:top w:val="nil"/>
              <w:bottom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91,85</w:t>
            </w:r>
          </w:p>
        </w:tc>
        <w:tc>
          <w:tcPr>
            <w:tcW w:w="1701" w:type="dxa"/>
            <w:tcBorders>
              <w:top w:val="nil"/>
              <w:bottom w:val="nil"/>
            </w:tcBorders>
            <w:vAlign w:val="center"/>
            <w:hideMark/>
          </w:tcPr>
          <w:p w:rsidR="00BB217A" w:rsidRPr="00F7287C" w:rsidRDefault="00F7287C" w:rsidP="00CB146D">
            <w:pP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Sangat </w:t>
            </w:r>
            <w:r w:rsidR="00BB217A" w:rsidRPr="00F7287C">
              <w:rPr>
                <w:rFonts w:ascii="Times New Roman" w:eastAsia="Times New Roman" w:hAnsi="Times New Roman" w:cs="Times New Roman"/>
                <w:color w:val="000000"/>
                <w:sz w:val="20"/>
                <w:szCs w:val="20"/>
                <w:lang w:val="en-US"/>
              </w:rPr>
              <w:t>kuat</w:t>
            </w:r>
          </w:p>
        </w:tc>
      </w:tr>
      <w:tr w:rsidR="00BB217A" w:rsidRPr="00762477" w:rsidTr="0036229C">
        <w:tc>
          <w:tcPr>
            <w:tcW w:w="2410" w:type="dxa"/>
            <w:tcBorders>
              <w:top w:val="nil"/>
            </w:tcBorders>
            <w:vAlign w:val="center"/>
            <w:hideMark/>
          </w:tcPr>
          <w:p w:rsidR="00BB217A" w:rsidRPr="00F7287C" w:rsidRDefault="00BB217A" w:rsidP="00CB146D">
            <w:pPr>
              <w:rPr>
                <w:rFonts w:ascii="Times New Roman" w:eastAsia="Times New Roman" w:hAnsi="Times New Roman" w:cs="Times New Roman"/>
                <w:color w:val="000000"/>
                <w:sz w:val="20"/>
                <w:szCs w:val="20"/>
              </w:rPr>
            </w:pPr>
            <w:r w:rsidRPr="00F7287C">
              <w:rPr>
                <w:rFonts w:ascii="Times New Roman" w:eastAsia="Times New Roman" w:hAnsi="Times New Roman" w:cs="Times New Roman"/>
                <w:color w:val="000000"/>
                <w:sz w:val="20"/>
                <w:szCs w:val="20"/>
              </w:rPr>
              <w:t>Amerika Serikat</w:t>
            </w:r>
          </w:p>
        </w:tc>
        <w:tc>
          <w:tcPr>
            <w:tcW w:w="1134" w:type="dxa"/>
            <w:tcBorders>
              <w:top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32,69</w:t>
            </w:r>
          </w:p>
        </w:tc>
        <w:tc>
          <w:tcPr>
            <w:tcW w:w="1559" w:type="dxa"/>
            <w:tcBorders>
              <w:top w:val="nil"/>
            </w:tcBorders>
            <w:vAlign w:val="center"/>
            <w:hideMark/>
          </w:tcPr>
          <w:p w:rsidR="00BB217A" w:rsidRPr="00F7287C" w:rsidRDefault="00BB217A" w:rsidP="00CB146D">
            <w:pPr>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Sedang</w:t>
            </w:r>
          </w:p>
        </w:tc>
        <w:tc>
          <w:tcPr>
            <w:tcW w:w="1134" w:type="dxa"/>
            <w:tcBorders>
              <w:top w:val="nil"/>
            </w:tcBorders>
            <w:vAlign w:val="center"/>
            <w:hideMark/>
          </w:tcPr>
          <w:p w:rsidR="00BB217A" w:rsidRPr="00F7287C" w:rsidRDefault="00BB217A" w:rsidP="00CB146D">
            <w:pPr>
              <w:jc w:val="right"/>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50,08</w:t>
            </w:r>
          </w:p>
        </w:tc>
        <w:tc>
          <w:tcPr>
            <w:tcW w:w="1701" w:type="dxa"/>
            <w:tcBorders>
              <w:top w:val="nil"/>
            </w:tcBorders>
            <w:vAlign w:val="center"/>
            <w:hideMark/>
          </w:tcPr>
          <w:p w:rsidR="00BB217A" w:rsidRPr="00F7287C" w:rsidRDefault="00BB217A" w:rsidP="00CB146D">
            <w:pPr>
              <w:rPr>
                <w:rFonts w:ascii="Times New Roman" w:eastAsia="Times New Roman" w:hAnsi="Times New Roman" w:cs="Times New Roman"/>
                <w:color w:val="000000"/>
                <w:sz w:val="20"/>
                <w:szCs w:val="20"/>
                <w:lang w:val="en-US"/>
              </w:rPr>
            </w:pPr>
            <w:r w:rsidRPr="00F7287C">
              <w:rPr>
                <w:rFonts w:ascii="Times New Roman" w:eastAsia="Times New Roman" w:hAnsi="Times New Roman" w:cs="Times New Roman"/>
                <w:color w:val="000000"/>
                <w:sz w:val="20"/>
                <w:szCs w:val="20"/>
                <w:lang w:val="en-US"/>
              </w:rPr>
              <w:t>Kuat</w:t>
            </w:r>
          </w:p>
        </w:tc>
      </w:tr>
    </w:tbl>
    <w:p w:rsidR="0001486E" w:rsidRPr="00EE585E" w:rsidRDefault="00412C0E" w:rsidP="00CB146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id-ID"/>
        </w:rPr>
      </w:pPr>
      <w:r>
        <w:rPr>
          <w:rFonts w:ascii="Times New Roman" w:eastAsia="Times New Roman" w:hAnsi="Times New Roman" w:cs="Times New Roman"/>
          <w:color w:val="000000"/>
          <w:sz w:val="20"/>
          <w:szCs w:val="20"/>
        </w:rPr>
        <w:t xml:space="preserve">Sumber : Data diolah, </w:t>
      </w:r>
      <w:r w:rsidR="00A60B2A" w:rsidRPr="00EE585E">
        <w:rPr>
          <w:rFonts w:ascii="Times New Roman" w:eastAsia="Times New Roman" w:hAnsi="Times New Roman" w:cs="Times New Roman"/>
          <w:color w:val="000000"/>
          <w:sz w:val="20"/>
          <w:szCs w:val="20"/>
        </w:rPr>
        <w:t>2021</w:t>
      </w:r>
    </w:p>
    <w:p w:rsidR="0054555F" w:rsidRPr="00BE6EE7" w:rsidRDefault="005018A1" w:rsidP="00CB146D">
      <w:pPr>
        <w:spacing w:after="0" w:line="240" w:lineRule="auto"/>
        <w:ind w:firstLine="567"/>
        <w:jc w:val="both"/>
        <w:rPr>
          <w:rFonts w:ascii="Times New Roman" w:eastAsia="Times New Roman" w:hAnsi="Times New Roman" w:cs="Times New Roman"/>
          <w:color w:val="000000"/>
          <w:lang w:val="id-ID"/>
        </w:rPr>
      </w:pPr>
      <w:r w:rsidRPr="00BE6EE7">
        <w:rPr>
          <w:rFonts w:ascii="Times New Roman" w:eastAsia="Times New Roman" w:hAnsi="Times New Roman" w:cs="Times New Roman"/>
          <w:color w:val="000000"/>
          <w:lang w:val="id-ID"/>
        </w:rPr>
        <w:t>Analsis</w:t>
      </w:r>
      <w:r w:rsidR="0054555F" w:rsidRPr="00BE6EE7">
        <w:rPr>
          <w:rFonts w:ascii="Times New Roman" w:eastAsia="Times New Roman" w:hAnsi="Times New Roman" w:cs="Times New Roman"/>
          <w:color w:val="000000"/>
        </w:rPr>
        <w:t xml:space="preserve"> IIT menunjukkan integrasi perdagangan antara Indonesia dan tujuah negara utama lemah, sedang, kuat, bahkan sangat kuat. Integrasi perdagangan dengan Belgia tergolong lemah, walaupun adanya Covid-19 meningkatkan integrasi antara kedua negara, namun IIT kedua negara tersebut masih tergolong lemah. Lemahnya integrasi disebabkan oleh ekspor komoditas tembakau Indonesia ke Belgia lebih tinggi dibandingkan dengan impor dari Belgia. Saat pandemi Covid-19 nilai impor komoditas tembakau dari negara Belgia meningkat, sedangkan nilai ekspor komoditas tembakau Indonesia menurun, namun masih memiliki nilai yang tinggi. Menurut</w:t>
      </w:r>
      <w:r w:rsidR="0054555F" w:rsidRPr="00BE6EE7">
        <w:rPr>
          <w:rFonts w:ascii="Times New Roman" w:eastAsia="Times New Roman" w:hAnsi="Times New Roman" w:cs="Times New Roman"/>
          <w:color w:val="000000"/>
          <w:lang w:val="id-ID"/>
        </w:rPr>
        <w:t xml:space="preserve"> </w:t>
      </w:r>
      <w:r w:rsidR="0054555F" w:rsidRPr="00BE6EE7">
        <w:rPr>
          <w:rFonts w:ascii="Times New Roman" w:eastAsia="Times New Roman" w:hAnsi="Times New Roman" w:cs="Times New Roman"/>
          <w:color w:val="000000"/>
          <w:lang w:val="id-ID"/>
        </w:rPr>
        <w:fldChar w:fldCharType="begin" w:fldLock="1"/>
      </w:r>
      <w:r w:rsidR="0054555F" w:rsidRPr="00BE6EE7">
        <w:rPr>
          <w:rFonts w:ascii="Times New Roman" w:eastAsia="Times New Roman" w:hAnsi="Times New Roman" w:cs="Times New Roman"/>
          <w:color w:val="000000"/>
          <w:lang w:val="id-ID"/>
        </w:rPr>
        <w:instrText>ADDIN CSL_CITATION {"citationItems":[{"id":"ITEM-1","itemData":{"URL":"https://pjnhk.go.id/artikel/perilaku-merokok-terus-meningkat-selama-pandemi-covid-19-bagaimana-mengatasinya","author":[{"dropping-particle":"","family":"Mardliyah","given":"Walidatul Laili","non-dropping-particle":"","parse-names":false,"suffix":""}],"container-title":"Pusat Jantung Nasional","id":"ITEM-1","issued":{"date-parts":[["2021"]]},"title":"Perilaku Merokok terus Meningkat selama Pandemi COVID-19; Bagaimana Mengatasainya?","type":"webpage"},"uris":["http://www.mendeley.com/documents/?uuid=9710c509-0c2d-45f6-b430-358c3bea7c47"]}],"mendeley":{"formattedCitation":"(Mardliyah, 2021)","manualFormatting":"Mardliyah (2021)","plainTextFormattedCitation":"(Mardliyah, 2021)","previouslyFormattedCitation":"(Mardliyah, 2021)"},"properties":{"noteIndex":0},"schema":"https://github.com/citation-style-language/schema/raw/master/csl-citation.json"}</w:instrText>
      </w:r>
      <w:r w:rsidR="0054555F" w:rsidRPr="00BE6EE7">
        <w:rPr>
          <w:rFonts w:ascii="Times New Roman" w:eastAsia="Times New Roman" w:hAnsi="Times New Roman" w:cs="Times New Roman"/>
          <w:color w:val="000000"/>
          <w:lang w:val="id-ID"/>
        </w:rPr>
        <w:fldChar w:fldCharType="separate"/>
      </w:r>
      <w:r w:rsidR="0054555F" w:rsidRPr="00BE6EE7">
        <w:rPr>
          <w:rFonts w:ascii="Times New Roman" w:eastAsia="Times New Roman" w:hAnsi="Times New Roman" w:cs="Times New Roman"/>
          <w:noProof/>
          <w:color w:val="000000"/>
          <w:lang w:val="id-ID"/>
        </w:rPr>
        <w:t>Mardliyah (2021)</w:t>
      </w:r>
      <w:r w:rsidR="0054555F" w:rsidRPr="00BE6EE7">
        <w:rPr>
          <w:rFonts w:ascii="Times New Roman" w:eastAsia="Times New Roman" w:hAnsi="Times New Roman" w:cs="Times New Roman"/>
          <w:color w:val="000000"/>
          <w:lang w:val="id-ID"/>
        </w:rPr>
        <w:fldChar w:fldCharType="end"/>
      </w:r>
      <w:r w:rsidR="0054555F" w:rsidRPr="00BE6EE7">
        <w:rPr>
          <w:rFonts w:ascii="Times New Roman" w:eastAsia="Times New Roman" w:hAnsi="Times New Roman" w:cs="Times New Roman"/>
          <w:color w:val="000000"/>
          <w:lang w:val="id-ID"/>
        </w:rPr>
        <w:t xml:space="preserve">, </w:t>
      </w:r>
      <w:r w:rsidR="0054555F" w:rsidRPr="00BE6EE7">
        <w:rPr>
          <w:rFonts w:ascii="Times New Roman" w:eastAsia="Times New Roman" w:hAnsi="Times New Roman" w:cs="Times New Roman"/>
          <w:color w:val="000000"/>
        </w:rPr>
        <w:t>impor Indonesia terhadap tembakau meningkat disebabkan oleh prevalensi merokok masyarakat yang juga meningkat. Menurut</w:t>
      </w:r>
      <w:r w:rsidR="0054555F" w:rsidRPr="00BE6EE7">
        <w:rPr>
          <w:rFonts w:ascii="Times New Roman" w:eastAsia="Times New Roman" w:hAnsi="Times New Roman" w:cs="Times New Roman"/>
          <w:color w:val="000000"/>
          <w:lang w:val="id-ID"/>
        </w:rPr>
        <w:t xml:space="preserve"> </w:t>
      </w:r>
      <w:r w:rsidR="0054555F" w:rsidRPr="00BE6EE7">
        <w:rPr>
          <w:rFonts w:ascii="Times New Roman" w:eastAsia="Times New Roman" w:hAnsi="Times New Roman" w:cs="Times New Roman"/>
          <w:color w:val="000000"/>
          <w:lang w:val="id-ID"/>
        </w:rPr>
        <w:fldChar w:fldCharType="begin" w:fldLock="1"/>
      </w:r>
      <w:r w:rsidR="0054555F" w:rsidRPr="00BE6EE7">
        <w:rPr>
          <w:rFonts w:ascii="Times New Roman" w:eastAsia="Times New Roman" w:hAnsi="Times New Roman" w:cs="Times New Roman"/>
          <w:color w:val="000000"/>
          <w:lang w:val="id-ID"/>
        </w:rPr>
        <w:instrText>ADDIN CSL_CITATION {"citationItems":[{"id":"ITEM-1","itemData":{"DOI":"10.1186/s12889-021-11637-4","ISSN":"14712458","PMID":"34479509","abstract":"Background: Due to the Corona Virus Disease 2019 (COVID-19), the Belgian government set out a range of measures to prevent the spread of the virus. One measure included closing all non-food shops, including vape shops. Methods: A retrospective online questionnaire was used to investigate the impact of closing the vape shops on the vaping and/or smoking behavior of current vapers. Results: The sample (n = 202) reached consisted of 70% exclusive vapers, 29% dual users and 1% no-product users. Over half (55%, 112/202) of participants needed to buy e-liquid during the lockdown, with a small majority being able to buy e-liquids – mostly with their usual nicotine concentrations, flavor or brand –, but as much as 39% (44/112) of them ran out of e-liquid. Those buying e-liquid mainly did so by making purchases via foreign online webshops. A similar pattern was observed with respect to purchasing hardware, with about half (47%, 95/202) of participants reporting hardware availability and with a small majority (53%, 107/202) reporting hardware unavailability. Of those indicating that hardware was not available, 38% (41/107) ran out of a properly functioning e-cigarette. A non-trivial minority had to consume e-liquids with another nicotine concentration, flavor or brand than usual. One seventh of exclusive vapers before lockdown relapsed partly or completely to smoking during the lockdown. The main reasons for changing vaping and/or smoking behavior included the unavailability of e-liquid with nicotine, the unavailability of hardware, and stress/worries about COVID-19. Conclusions: The majority of vapers succeeded in maintaining their vaping behavior as usual, highly likely due to (illegally) buying consumables online. Nevertheless, for a minority the lockdown period resulted in unintended consequences and these vapers relapsed (completely) to smoking. Even during periods of lockdown, smokers and vapers should be able to purchase low(er)-risk alternatives to smoking, for example e-cigarettes.","author":[{"dropping-particle":"","family":"Adriaens","given":"Karolien","non-dropping-particle":"","parse-names":false,"suffix":""},{"dropping-particle":"","family":"Gucht","given":"Dinska","non-dropping-particle":"Van","parse-names":false,"suffix":""},{"dropping-particle":"","family":"Lommel","given":"Sven","non-dropping-particle":"Van","parse-names":false,"suffix":""},{"dropping-particle":"","family":"Baeyens","given":"Frank","non-dropping-particle":"","parse-names":false,"suffix":""}],"container-title":"BMC Public Health","id":"ITEM-1","issue":"1","issued":{"date-parts":[["2021"]]},"page":"1-10","publisher":"BMC Public Health","title":"Vaping during the COVID-19 lockdown period in Belgium","type":"article-journal","volume":"21"},"uris":["http://www.mendeley.com/documents/?uuid=d54fdb4b-ff8d-4bc6-be06-12233d8ea19a"]}],"mendeley":{"formattedCitation":"(Adriaens, Van Gucht, Van Lommel, &amp; Baeyens, 2021)","manualFormatting":"Adriaens et al. (2021)","plainTextFormattedCitation":"(Adriaens, Van Gucht, Van Lommel, &amp; Baeyens, 2021)","previouslyFormattedCitation":"(Adriaens, Van Gucht, Van Lommel, &amp; Baeyens, 2021)"},"properties":{"noteIndex":0},"schema":"https://github.com/citation-style-language/schema/raw/master/csl-citation.json"}</w:instrText>
      </w:r>
      <w:r w:rsidR="0054555F" w:rsidRPr="00BE6EE7">
        <w:rPr>
          <w:rFonts w:ascii="Times New Roman" w:eastAsia="Times New Roman" w:hAnsi="Times New Roman" w:cs="Times New Roman"/>
          <w:color w:val="000000"/>
          <w:lang w:val="id-ID"/>
        </w:rPr>
        <w:fldChar w:fldCharType="separate"/>
      </w:r>
      <w:r w:rsidR="0054555F" w:rsidRPr="00BE6EE7">
        <w:rPr>
          <w:rFonts w:ascii="Times New Roman" w:eastAsia="Times New Roman" w:hAnsi="Times New Roman" w:cs="Times New Roman"/>
          <w:noProof/>
          <w:color w:val="000000"/>
          <w:lang w:val="id-ID"/>
        </w:rPr>
        <w:t xml:space="preserve">Adriaens </w:t>
      </w:r>
      <w:r w:rsidR="0054555F" w:rsidRPr="00BE6EE7">
        <w:rPr>
          <w:rFonts w:ascii="Times New Roman" w:eastAsia="Times New Roman" w:hAnsi="Times New Roman" w:cs="Times New Roman"/>
          <w:i/>
          <w:noProof/>
          <w:color w:val="000000"/>
          <w:lang w:val="id-ID"/>
        </w:rPr>
        <w:t>et al.</w:t>
      </w:r>
      <w:r w:rsidR="0054555F" w:rsidRPr="00BE6EE7">
        <w:rPr>
          <w:rFonts w:ascii="Times New Roman" w:eastAsia="Times New Roman" w:hAnsi="Times New Roman" w:cs="Times New Roman"/>
          <w:noProof/>
          <w:color w:val="000000"/>
          <w:lang w:val="id-ID"/>
        </w:rPr>
        <w:t xml:space="preserve"> (2021)</w:t>
      </w:r>
      <w:r w:rsidR="0054555F" w:rsidRPr="00BE6EE7">
        <w:rPr>
          <w:rFonts w:ascii="Times New Roman" w:eastAsia="Times New Roman" w:hAnsi="Times New Roman" w:cs="Times New Roman"/>
          <w:color w:val="000000"/>
          <w:lang w:val="id-ID"/>
        </w:rPr>
        <w:fldChar w:fldCharType="end"/>
      </w:r>
      <w:r w:rsidR="0054555F" w:rsidRPr="00BE6EE7">
        <w:rPr>
          <w:rFonts w:ascii="Times New Roman" w:eastAsia="Times New Roman" w:hAnsi="Times New Roman" w:cs="Times New Roman"/>
          <w:color w:val="000000"/>
          <w:lang w:val="id-ID"/>
        </w:rPr>
        <w:t xml:space="preserve">, banyak masyarakat Belgia yang beralih menggunakan </w:t>
      </w:r>
      <w:r w:rsidR="0054555F" w:rsidRPr="00BE6EE7">
        <w:rPr>
          <w:rFonts w:ascii="Times New Roman" w:eastAsia="Times New Roman" w:hAnsi="Times New Roman" w:cs="Times New Roman"/>
          <w:i/>
          <w:color w:val="000000"/>
          <w:lang w:val="id-ID"/>
        </w:rPr>
        <w:t xml:space="preserve">vape </w:t>
      </w:r>
      <w:r w:rsidR="0054555F" w:rsidRPr="00BE6EE7">
        <w:rPr>
          <w:rFonts w:ascii="Times New Roman" w:eastAsia="Times New Roman" w:hAnsi="Times New Roman" w:cs="Times New Roman"/>
          <w:color w:val="000000"/>
          <w:lang w:val="id-ID"/>
        </w:rPr>
        <w:t xml:space="preserve">untuk menghilangkan stres selama </w:t>
      </w:r>
      <w:r w:rsidR="0054555F" w:rsidRPr="00BE6EE7">
        <w:rPr>
          <w:rFonts w:ascii="Times New Roman" w:eastAsia="Times New Roman" w:hAnsi="Times New Roman" w:cs="Times New Roman"/>
          <w:i/>
          <w:color w:val="000000"/>
          <w:lang w:val="id-ID"/>
        </w:rPr>
        <w:t>lockdown</w:t>
      </w:r>
      <w:r w:rsidR="0054555F" w:rsidRPr="00BE6EE7">
        <w:rPr>
          <w:rFonts w:ascii="Times New Roman" w:eastAsia="Times New Roman" w:hAnsi="Times New Roman" w:cs="Times New Roman"/>
          <w:color w:val="000000"/>
          <w:lang w:val="id-ID"/>
        </w:rPr>
        <w:t xml:space="preserve">, hal ini dikarenakan </w:t>
      </w:r>
      <w:r w:rsidR="0054555F" w:rsidRPr="00BE6EE7">
        <w:rPr>
          <w:rFonts w:ascii="Times New Roman" w:eastAsia="Times New Roman" w:hAnsi="Times New Roman" w:cs="Times New Roman"/>
          <w:i/>
          <w:color w:val="000000"/>
          <w:lang w:val="id-ID"/>
        </w:rPr>
        <w:t xml:space="preserve">vaping </w:t>
      </w:r>
      <w:r w:rsidR="0054555F" w:rsidRPr="00BE6EE7">
        <w:rPr>
          <w:rFonts w:ascii="Times New Roman" w:eastAsia="Times New Roman" w:hAnsi="Times New Roman" w:cs="Times New Roman"/>
          <w:color w:val="000000"/>
          <w:lang w:val="id-ID"/>
        </w:rPr>
        <w:t xml:space="preserve">dinilai lebih sehat dibandingkan dengan mengonsumsi rokok tembakau, yang mana hal ini berpengaruh terhadap permintaan tembakau sebagai bahan baku  rokok. Beberapa pengguna yang telah beralih ke </w:t>
      </w:r>
      <w:r w:rsidR="0054555F" w:rsidRPr="00BE6EE7">
        <w:rPr>
          <w:rFonts w:ascii="Times New Roman" w:eastAsia="Times New Roman" w:hAnsi="Times New Roman" w:cs="Times New Roman"/>
          <w:i/>
          <w:color w:val="000000"/>
          <w:lang w:val="id-ID"/>
        </w:rPr>
        <w:t xml:space="preserve">vape, </w:t>
      </w:r>
      <w:r w:rsidR="0054555F" w:rsidRPr="00BE6EE7">
        <w:rPr>
          <w:rFonts w:ascii="Times New Roman" w:eastAsia="Times New Roman" w:hAnsi="Times New Roman" w:cs="Times New Roman"/>
          <w:color w:val="000000"/>
          <w:lang w:val="id-ID"/>
        </w:rPr>
        <w:t xml:space="preserve">kemudian kembali lagi mengonsumsi rokok karena </w:t>
      </w:r>
      <w:r w:rsidR="0054555F" w:rsidRPr="00BE6EE7">
        <w:rPr>
          <w:rFonts w:ascii="Times New Roman" w:eastAsia="Times New Roman" w:hAnsi="Times New Roman" w:cs="Times New Roman"/>
          <w:i/>
          <w:color w:val="000000"/>
          <w:lang w:val="id-ID"/>
        </w:rPr>
        <w:t xml:space="preserve">e-liquid </w:t>
      </w:r>
      <w:r w:rsidR="0054555F" w:rsidRPr="00BE6EE7">
        <w:rPr>
          <w:rFonts w:ascii="Times New Roman" w:eastAsia="Times New Roman" w:hAnsi="Times New Roman" w:cs="Times New Roman"/>
          <w:color w:val="000000"/>
          <w:lang w:val="id-ID"/>
        </w:rPr>
        <w:t xml:space="preserve">dan </w:t>
      </w:r>
      <w:r w:rsidR="0054555F" w:rsidRPr="00BE6EE7">
        <w:rPr>
          <w:rFonts w:ascii="Times New Roman" w:eastAsia="Times New Roman" w:hAnsi="Times New Roman" w:cs="Times New Roman"/>
          <w:i/>
          <w:color w:val="000000"/>
          <w:lang w:val="id-ID"/>
        </w:rPr>
        <w:t xml:space="preserve">hardware </w:t>
      </w:r>
      <w:r w:rsidR="0054555F" w:rsidRPr="00BE6EE7">
        <w:rPr>
          <w:rFonts w:ascii="Times New Roman" w:eastAsia="Times New Roman" w:hAnsi="Times New Roman" w:cs="Times New Roman"/>
          <w:color w:val="000000"/>
          <w:lang w:val="id-ID"/>
        </w:rPr>
        <w:t xml:space="preserve">untuk </w:t>
      </w:r>
      <w:r w:rsidR="0054555F" w:rsidRPr="00BE6EE7">
        <w:rPr>
          <w:rFonts w:ascii="Times New Roman" w:eastAsia="Times New Roman" w:hAnsi="Times New Roman" w:cs="Times New Roman"/>
          <w:i/>
          <w:color w:val="000000"/>
          <w:lang w:val="id-ID"/>
        </w:rPr>
        <w:t xml:space="preserve">vaping </w:t>
      </w:r>
      <w:r w:rsidR="0054555F" w:rsidRPr="00BE6EE7">
        <w:rPr>
          <w:rFonts w:ascii="Times New Roman" w:eastAsia="Times New Roman" w:hAnsi="Times New Roman" w:cs="Times New Roman"/>
          <w:color w:val="000000"/>
          <w:lang w:val="id-ID"/>
        </w:rPr>
        <w:t>yang sulit ditemui, menyebabkan impor tembakau di negara Belgia masih tinggi, terutama dari Indonesia.</w:t>
      </w:r>
    </w:p>
    <w:p w:rsidR="0054555F" w:rsidRPr="00BE6EE7" w:rsidRDefault="0054555F" w:rsidP="00CB146D">
      <w:pPr>
        <w:spacing w:after="0" w:line="240" w:lineRule="auto"/>
        <w:ind w:firstLine="567"/>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 xml:space="preserve">Hasil analisis IIT tembakau Indonesia dengan Singapura tergolong lemah. Adanya pandemi Covid-19 menyebabkan integrasi perdagangan menurun. Kategori lemah pada integrasi Indonesia dengan Singapura dikarenakan ekspor komoditas tembakau Indonesia ke Singapura lebih besar daripada impor komoditas tembakau Indonesia dari Singapura. Penurunan integrasi perdagangan dikarenakan nilai ekspor komoditas tembakau yang meningkat sedangkan impor menurun. Nilai ekspor meningkat sebesar US$20.851.791,07 atau sebesar 49,18%, sedangkan nilai impor menurun sebesar 22,37% atau US$226.442,00. Impor tembakau Indonesia dari Singapura yang cenderung kecil dikarenakan Singapura bukan negara agraris, sehingga ekspor komoditas pertanian di Singapura cukup kecil. </w:t>
      </w:r>
    </w:p>
    <w:p w:rsidR="0054555F" w:rsidRPr="00BE6EE7" w:rsidRDefault="0054555F" w:rsidP="00CB146D">
      <w:pPr>
        <w:spacing w:after="0" w:line="240" w:lineRule="auto"/>
        <w:ind w:firstLine="567"/>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lastRenderedPageBreak/>
        <w:t xml:space="preserve">Integrasi perdagangan komoditas tembakau antara Indonesia dengan Republik Dominika menunjukkan penurunan. Sebelum pandemi Covid-19 IIT antara kedua negara tersebut tergolong sedang, namun saat Covid-19 integrasi yang terjadi tergolong lemah. Penurunan IIT disebabkan oleh penurunan nilai impor komoditas tembakau dari Republik Dominika. Nilai impor komoditas tembakau dari Republik dominika menurun sebesar 40,43% dari sebelum pandemi Covid-19, namun nilai ekspor tembakau Indonesia ke Republik Dominika meningkat sebesar US$61.610,86 atau 0,19% dari sebelum pandemi. </w:t>
      </w:r>
      <w:r w:rsidRPr="00BE6EE7">
        <w:rPr>
          <w:rFonts w:ascii="Times New Roman" w:eastAsia="Times New Roman" w:hAnsi="Times New Roman" w:cs="Times New Roman"/>
          <w:color w:val="000000"/>
          <w:lang w:val="id-ID"/>
        </w:rPr>
        <w:t xml:space="preserve">Menurut </w:t>
      </w:r>
      <w:r w:rsidRPr="00BE6EE7">
        <w:rPr>
          <w:rFonts w:ascii="Times New Roman" w:eastAsia="Times New Roman" w:hAnsi="Times New Roman" w:cs="Times New Roman"/>
          <w:color w:val="000000"/>
          <w:lang w:val="id-ID"/>
        </w:rPr>
        <w:fldChar w:fldCharType="begin" w:fldLock="1"/>
      </w:r>
      <w:r w:rsidRPr="00BE6EE7">
        <w:rPr>
          <w:rFonts w:ascii="Times New Roman" w:eastAsia="Times New Roman" w:hAnsi="Times New Roman" w:cs="Times New Roman"/>
          <w:color w:val="000000"/>
          <w:lang w:val="id-ID"/>
        </w:rPr>
        <w:instrText>ADDIN CSL_CITATION {"citationItems":[{"id":"ITEM-1","itemData":{"abstract":"a r t i c l e i n f o Article history: Received 11 February 2020 Accepted 12 February 2020 Available online xxx Editor: Jean-Marc Rolain Keywords: 2019-nCoV SARS-CoV-2 COVID-19 China Epidemic Remdesivir a b s t r a c t The emergence of severe acute respiratory syndrome coronavirus 2 (SARS-CoV-2; previously provision- ally named 2019 novel coronavirus or 2019-nCoV) disease (COVID-19) in China at the end of 2019 has caused a large global outbreak and is a major public health issue. As of 11 February 2020, data from the World Health Organization (WHO) have shown that more than 43 0 0 0 confirmed cases have been identified in 28 countries/regions, with &gt; 99% of cases being detected in China. On 30 January 2020, the WHO declared COVID-19 as the sixth public health emergency of international concern. SARS-CoV-2 is closely related to two bat-derived severe acute respiratory syndrome-like coronaviruses, bat-SL-CoVZC45 and bat-SL-CoVZXC21. It is spread by human-to-human transmission via droplets or direct contact, and infection has been estimated to have mean incubation period of 6.4 days and a basic reproduction num- ber of 2.24–3.58. Among patients with pneumonia caused by SARS-CoV-2 (novel coronavirus pneumonia or Wuhan pneumonia), fever was the most common symptom, followed by cough. Bilateral lung involve- ment with ground-glass opacity was the most common finding from computed tomography images of the chest. The one case of SARS-CoV-2 pneumonia in the USA is responding well to remdesivir, which is now undergoing a clinical trial in China. Currently, controlling infection to prevent the spread of SARS-CoV-2 is the primary intervention being used. However, public health authorities should keep monitoring the situation closely, as the more we can learn about this novel virus and its associated outbreak, the better we can respond. ©2020","author":[{"dropping-particle":"","family":"Burki","given":"Talha Khan","non-dropping-particle":"","parse-names":false,"suffix":""}],"id":"ITEM-1","issue":"December","issued":{"date-parts":[["2021"]]},"number-of-pages":"1658","title":"Tobacco Industry Influence during the COVID-19 Pandemic","type":"report"},"uris":["http://www.mendeley.com/documents/?uuid=bd56a630-b901-478e-b093-6e80ccb80386"]}],"mendeley":{"formattedCitation":"(Burki, 2021)","manualFormatting":"Burki (2021)","plainTextFormattedCitation":"(Burki, 2021)","previouslyFormattedCitation":"(Burki, 2021)"},"properties":{"noteIndex":0},"schema":"https://github.com/citation-style-language/schema/raw/master/csl-citation.json"}</w:instrText>
      </w:r>
      <w:r w:rsidRPr="00BE6EE7">
        <w:rPr>
          <w:rFonts w:ascii="Times New Roman" w:eastAsia="Times New Roman" w:hAnsi="Times New Roman" w:cs="Times New Roman"/>
          <w:color w:val="000000"/>
          <w:lang w:val="id-ID"/>
        </w:rPr>
        <w:fldChar w:fldCharType="separate"/>
      </w:r>
      <w:r w:rsidRPr="00BE6EE7">
        <w:rPr>
          <w:rFonts w:ascii="Times New Roman" w:eastAsia="Times New Roman" w:hAnsi="Times New Roman" w:cs="Times New Roman"/>
          <w:noProof/>
          <w:color w:val="000000"/>
          <w:lang w:val="id-ID"/>
        </w:rPr>
        <w:t>Burki (2021)</w:t>
      </w:r>
      <w:r w:rsidRPr="00BE6EE7">
        <w:rPr>
          <w:rFonts w:ascii="Times New Roman" w:eastAsia="Times New Roman" w:hAnsi="Times New Roman" w:cs="Times New Roman"/>
          <w:color w:val="000000"/>
          <w:lang w:val="id-ID"/>
        </w:rPr>
        <w:fldChar w:fldCharType="end"/>
      </w:r>
      <w:r w:rsidRPr="00BE6EE7">
        <w:rPr>
          <w:rFonts w:ascii="Times New Roman" w:eastAsia="Times New Roman" w:hAnsi="Times New Roman" w:cs="Times New Roman"/>
          <w:color w:val="000000"/>
        </w:rPr>
        <w:t>, peningkatan impor tembakau di Republik Dominika dikarenakan konsumsi rokok dari masyarakat Republik Dominika yang tinggi, walaupun pada masa pandemi Covid-19. Pemerintah Republik Dominika menunjuk tembakau sebagai produk yang penting saat pandemi, bahkan mengurangi pajak terhadap tembakau, yang kemudian berpengaruh terhadap impor tembakau Republik Dominika.</w:t>
      </w:r>
    </w:p>
    <w:p w:rsidR="0054555F" w:rsidRPr="00BE6EE7" w:rsidRDefault="0054555F" w:rsidP="00CB146D">
      <w:pPr>
        <w:spacing w:after="0" w:line="240" w:lineRule="auto"/>
        <w:ind w:firstLine="567"/>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Integrasi perdagangan tembakau Indonesia dengan Sri Lanka menunjukkan penurunan dibandingkan sebelum pandemi Covid-19. Integrasi perdagangan kedua negara tersebut sebelum pandemi tergolong sedang, sedangkan saat pandemi Covid-19 menurun menjadi lemah. Kondisi ini disebabkan oleh penurunan ekspor dan impor tembakau antar kedua negara tersebut. Penurunan nilai ekspor komoditas tembakau ke Sri Lanka dari sebelum Covid-19 yakni sebesar US$12.408.768,14 atau sebesar 31,44%. Menurut</w:t>
      </w:r>
      <w:r w:rsidRPr="00BE6EE7">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lang w:val="id-ID"/>
        </w:rPr>
        <w:fldChar w:fldCharType="begin" w:fldLock="1"/>
      </w:r>
      <w:r w:rsidRPr="00BE6EE7">
        <w:rPr>
          <w:rFonts w:ascii="Times New Roman" w:eastAsia="Times New Roman" w:hAnsi="Times New Roman" w:cs="Times New Roman"/>
          <w:color w:val="000000"/>
          <w:lang w:val="id-ID"/>
        </w:rPr>
        <w:instrText>ADDIN CSL_CITATION {"citationItems":[{"id":"ITEM-1","itemData":{"ISBN":"9786245896004","author":[{"dropping-particle":"","family":"Senaratne","given":"Ranjith","non-dropping-particle":"","parse-names":false,"suffix":""},{"dropping-particle":"","family":"Amaratunga","given":"Dilanthi","non-dropping-particle":"","parse-names":false,"suffix":""},{"dropping-particle":"","family":"Mendis","given":"Shanthi","non-dropping-particle":"","parse-names":false,"suffix":""},{"dropping-particle":"","family":"Athukorala","given":"Prema Chandra","non-dropping-particle":"","parse-names":false,"suffix":""}],"id":"ITEM-1","issued":{"date-parts":[["2021"]]},"number-of-pages":"536-539","title":"COVID 19: Impact, Mitigation, Opportunities and Building Resilience","type":"report","volume":"01"},"uris":["http://www.mendeley.com/documents/?uuid=767d7e24-04ff-4576-a30d-6c0408dbfffb"]}],"mendeley":{"formattedCitation":"(Senaratne, Amaratunga, Mendis, &amp; Athukorala, 2021)","manualFormatting":"Senaratne et al. (2021)","plainTextFormattedCitation":"(Senaratne, Amaratunga, Mendis, &amp; Athukorala, 2021)","previouslyFormattedCitation":"(Senaratne, Amaratunga, Mendis, &amp; Athukorala, 2021)"},"properties":{"noteIndex":0},"schema":"https://github.com/citation-style-language/schema/raw/master/csl-citation.json"}</w:instrText>
      </w:r>
      <w:r w:rsidRPr="00BE6EE7">
        <w:rPr>
          <w:rFonts w:ascii="Times New Roman" w:eastAsia="Times New Roman" w:hAnsi="Times New Roman" w:cs="Times New Roman"/>
          <w:color w:val="000000"/>
          <w:lang w:val="id-ID"/>
        </w:rPr>
        <w:fldChar w:fldCharType="separate"/>
      </w:r>
      <w:r w:rsidRPr="00BE6EE7">
        <w:rPr>
          <w:rFonts w:ascii="Times New Roman" w:eastAsia="Times New Roman" w:hAnsi="Times New Roman" w:cs="Times New Roman"/>
          <w:noProof/>
          <w:color w:val="000000"/>
          <w:lang w:val="id-ID"/>
        </w:rPr>
        <w:t xml:space="preserve">Senaratne </w:t>
      </w:r>
      <w:r w:rsidRPr="00BE6EE7">
        <w:rPr>
          <w:rFonts w:ascii="Times New Roman" w:eastAsia="Times New Roman" w:hAnsi="Times New Roman" w:cs="Times New Roman"/>
          <w:i/>
          <w:noProof/>
          <w:color w:val="000000"/>
          <w:lang w:val="id-ID"/>
        </w:rPr>
        <w:t>et al.</w:t>
      </w:r>
      <w:r w:rsidRPr="00BE6EE7">
        <w:rPr>
          <w:rFonts w:ascii="Times New Roman" w:eastAsia="Times New Roman" w:hAnsi="Times New Roman" w:cs="Times New Roman"/>
          <w:noProof/>
          <w:color w:val="000000"/>
          <w:lang w:val="id-ID"/>
        </w:rPr>
        <w:t xml:space="preserve"> (2021)</w:t>
      </w:r>
      <w:r w:rsidRPr="00BE6EE7">
        <w:rPr>
          <w:rFonts w:ascii="Times New Roman" w:eastAsia="Times New Roman" w:hAnsi="Times New Roman" w:cs="Times New Roman"/>
          <w:color w:val="000000"/>
          <w:lang w:val="id-ID"/>
        </w:rPr>
        <w:fldChar w:fldCharType="end"/>
      </w:r>
      <w:r w:rsidRPr="00BE6EE7">
        <w:rPr>
          <w:rFonts w:ascii="Times New Roman" w:eastAsia="Times New Roman" w:hAnsi="Times New Roman" w:cs="Times New Roman"/>
          <w:color w:val="000000"/>
        </w:rPr>
        <w:t>, penurunan impor komoditas tembakau dari Indonesia salah satunya disebabkan oleh penurunan perokok di Sri Lanka selama pandemi Covid-19. Penurunan perokok di Sri Lanka sebesar 68% dan 20% diantaranya telah berhenti mengkonsumsi rokok, sedangkan 48% lainnya mengurangi konsumsi mereka terhadap rokok.</w:t>
      </w:r>
    </w:p>
    <w:p w:rsidR="0054555F" w:rsidRPr="00BE6EE7" w:rsidRDefault="0054555F" w:rsidP="00CB146D">
      <w:pPr>
        <w:spacing w:after="0" w:line="240" w:lineRule="auto"/>
        <w:ind w:firstLine="567"/>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 xml:space="preserve">Hasil IIT Indonesia dengan Jerman menunjukkan hasil yang tergolong sangat kuat. Hal ini dikarenakan nilai ekspor dan impor komoditas tembakau antara kedua negara tersebut hampir setara. Adanya pandemi Covid-19 justru meningkatkan nilai ekspor dan impor komoditas tembakau antar kedua negara tersebut yang menyebabkan integrasi perdagangan yang terjadi juga meningkat. Peningkatan nilai ekspor dan impor komoditas tembakau di kedua negara tersebut dikarenakan konsumsi terhadap rokok yang meningkat selama diberlakukannya kebijakan </w:t>
      </w:r>
      <w:r w:rsidRPr="00BE6EE7">
        <w:rPr>
          <w:rFonts w:ascii="Times New Roman" w:eastAsia="Times New Roman" w:hAnsi="Times New Roman" w:cs="Times New Roman"/>
          <w:i/>
          <w:color w:val="000000"/>
        </w:rPr>
        <w:t xml:space="preserve">lockdown </w:t>
      </w:r>
      <w:r w:rsidRPr="00BE6EE7">
        <w:rPr>
          <w:rFonts w:ascii="Times New Roman" w:eastAsia="Times New Roman" w:hAnsi="Times New Roman" w:cs="Times New Roman"/>
          <w:color w:val="000000"/>
        </w:rPr>
        <w:t>untuk mengurangi penyebaran Covid-19. Menurut</w:t>
      </w:r>
      <w:r w:rsidRPr="00BE6EE7">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lang w:val="id-ID"/>
        </w:rPr>
        <w:fldChar w:fldCharType="begin" w:fldLock="1"/>
      </w:r>
      <w:r w:rsidRPr="00BE6EE7">
        <w:rPr>
          <w:rFonts w:ascii="Times New Roman" w:eastAsia="Times New Roman" w:hAnsi="Times New Roman" w:cs="Times New Roman"/>
          <w:color w:val="000000"/>
          <w:lang w:val="id-ID"/>
        </w:rPr>
        <w:instrText>ADDIN CSL_CITATION {"citationItems":[{"id":"ITEM-1","itemData":{"DOI":"10.1159/000515438","ISSN":"14219891","PMID":"33902030","abstract":"Background: Similar to other countries, the government of Germany has implemented various restrictions of social life in March 2020 to slow the spread of COVID-19 pandemic. This results in millions of people being isolated for long periods, which may increase feelings of worry and anxiety. As the consumption of alcohol and tobacco is an often used dysfunctional strategy to cope with such feelings, these restrictions might cause an increase of consumption. Already at the beginning of the COVID-19 pandemic, the World Health Organization (WHO) warned that increased alcohol consumption during the lockdown can increase the prevalence of alcohol use disorders in the future. However, up to now little is known about the changes in alcohol-drinking behavior and tobacco smoking in the general population during the COVID-19 pandemic. Methods: To address this theme, we investigated the changes in alcohol and tobacco consumption in the German population aged between 18 and 80 years via an online survey. Results: In total, 3,245 persons participated in the survey; 35.5% of them reported an increase in drinking during the lockdown (42.9% did not change their drinking behavior, 21.3% drank less, and 0.3% started drinking). The odds of consuming more alcohol during lockdown were associated with middle age, higher subjective stress due to the COVID-19 pandemic, a lower agreement with the importance of the restrictions, and consuming alcohol more than once per week before the lockdown. Also, 45.8% of the participants increased their smoking during the lockdown. The odds of smoking more during lockdown were associated with higher subjective stress due to the COVID-19 pandemic. Conclusion: These findings suggest that it is important to start campaigns to inform the general population about potential long-term effects of increased alcohol and tobacco consumption and to raise the health-care professionals' awareness of this topic.","author":[{"dropping-particle":"","family":"Koopmann","given":"Anne","non-dropping-particle":"","parse-names":false,"suffix":""},{"dropping-particle":"","family":"Georgiadou","given":"Ekaterini","non-dropping-particle":"","parse-names":false,"suffix":""},{"dropping-particle":"","family":"Reinhard","given":"Iris","non-dropping-particle":"","parse-names":false,"suffix":""},{"dropping-particle":"","family":"Müller","given":"Astrid","non-dropping-particle":"","parse-names":false,"suffix":""},{"dropping-particle":"","family":"Lemenager","given":"Tagrid","non-dropping-particle":"","parse-names":false,"suffix":""},{"dropping-particle":"","family":"Kiefer","given":"Falk","non-dropping-particle":"","parse-names":false,"suffix":""},{"dropping-particle":"","family":"Hillemacher","given":"Thomas","non-dropping-particle":"","parse-names":false,"suffix":""}],"container-title":"European Addiction Research","id":"ITEM-1","issue":"4","issued":{"date-parts":[["2021"]]},"page":"242-256","title":"The Effects of the Lockdown during the COVID-19 Pandemic on Alcohol and Tobacco Consumption Behavior in Germany","type":"article-journal","volume":"27"},"uris":["http://www.mendeley.com/documents/?uuid=b05a78dc-4af0-453f-b663-10e2dfb6b3a5"]}],"mendeley":{"formattedCitation":"(Koopmann et al., 2021)","manualFormatting":"Koopmann et al. (2021)","plainTextFormattedCitation":"(Koopmann et al., 2021)","previouslyFormattedCitation":"(Koopmann et al., 2021)"},"properties":{"noteIndex":0},"schema":"https://github.com/citation-style-language/schema/raw/master/csl-citation.json"}</w:instrText>
      </w:r>
      <w:r w:rsidRPr="00BE6EE7">
        <w:rPr>
          <w:rFonts w:ascii="Times New Roman" w:eastAsia="Times New Roman" w:hAnsi="Times New Roman" w:cs="Times New Roman"/>
          <w:color w:val="000000"/>
          <w:lang w:val="id-ID"/>
        </w:rPr>
        <w:fldChar w:fldCharType="separate"/>
      </w:r>
      <w:r w:rsidRPr="00BE6EE7">
        <w:rPr>
          <w:rFonts w:ascii="Times New Roman" w:eastAsia="Times New Roman" w:hAnsi="Times New Roman" w:cs="Times New Roman"/>
          <w:noProof/>
          <w:color w:val="000000"/>
          <w:lang w:val="id-ID"/>
        </w:rPr>
        <w:t xml:space="preserve">Koopmann </w:t>
      </w:r>
      <w:r w:rsidRPr="00BE6EE7">
        <w:rPr>
          <w:rFonts w:ascii="Times New Roman" w:eastAsia="Times New Roman" w:hAnsi="Times New Roman" w:cs="Times New Roman"/>
          <w:i/>
          <w:noProof/>
          <w:color w:val="000000"/>
          <w:lang w:val="id-ID"/>
        </w:rPr>
        <w:t>et al</w:t>
      </w:r>
      <w:r w:rsidRPr="00BE6EE7">
        <w:rPr>
          <w:rFonts w:ascii="Times New Roman" w:eastAsia="Times New Roman" w:hAnsi="Times New Roman" w:cs="Times New Roman"/>
          <w:noProof/>
          <w:color w:val="000000"/>
          <w:lang w:val="id-ID"/>
        </w:rPr>
        <w:t>. (2021)</w:t>
      </w:r>
      <w:r w:rsidRPr="00BE6EE7">
        <w:rPr>
          <w:rFonts w:ascii="Times New Roman" w:eastAsia="Times New Roman" w:hAnsi="Times New Roman" w:cs="Times New Roman"/>
          <w:color w:val="000000"/>
          <w:lang w:val="id-ID"/>
        </w:rPr>
        <w:fldChar w:fldCharType="end"/>
      </w:r>
      <w:r w:rsidRPr="00BE6EE7">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rPr>
        <w:t>sebesar 45,8% dari partisipan survei meningkatkan jumlah konsumsi rokok mereka (partisipan survei), sehingga hal ini berdampak terhadap peningkatan permintaan tembakau sebagai bahan baku pembuatan rokok.</w:t>
      </w:r>
    </w:p>
    <w:p w:rsidR="00F85700" w:rsidRPr="00BE6EE7" w:rsidRDefault="0054555F" w:rsidP="00CB146D">
      <w:pPr>
        <w:spacing w:after="0" w:line="240" w:lineRule="auto"/>
        <w:ind w:firstLine="567"/>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Integrasi perdagangan dengan Belanda menunjukkan hasil yang sangat kuat, meskipun adanya pandemi integrasi yang terjadi menurun, namun masih tergolong sangat kuat, hal ini dikarenakan nilai ekspor dan juga impor komoditas tembakau antara Indonesia dan Belanda hampir setara. Nilai ekspor komoditas tembakau Indonesia ke Belanda pada saat pandemi Covid-19 menurun, namun disisi lain nilai impor komoditas tembakau dari Belanda meningkat. Menurut</w:t>
      </w:r>
      <w:r w:rsidRPr="00BE6EE7">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lang w:val="id-ID"/>
        </w:rPr>
        <w:fldChar w:fldCharType="begin" w:fldLock="1"/>
      </w:r>
      <w:r w:rsidRPr="00BE6EE7">
        <w:rPr>
          <w:rFonts w:ascii="Times New Roman" w:eastAsia="Times New Roman" w:hAnsi="Times New Roman" w:cs="Times New Roman"/>
          <w:color w:val="000000"/>
          <w:lang w:val="id-ID"/>
        </w:rPr>
        <w:instrText>ADDIN CSL_CITATION {"citationItems":[{"id":"ITEM-1","itemData":{"URL":"https://www.voaindonesia.com/a/konsumsi-rokok-masih-tinggi-selama-pandemi-cukai-rokok-diminta-naik/6002479.html","author":[{"dropping-particle":"","family":"Riski","given":"Petrus","non-dropping-particle":"","parse-names":false,"suffix":""}],"container-title":"VOA Indonesia","id":"ITEM-1","issued":{"date-parts":[["2021"]]},"title":"Konsumsi Rokok Masih Tinggi selama Pandemi, Cukai Rokok Diminta Naik","type":"webpage"},"uris":["http://www.mendeley.com/documents/?uuid=368422cd-e3db-40b3-a147-178e8f146301"]}],"mendeley":{"formattedCitation":"(Riski, 2021)","manualFormatting":"Riski (2021)","plainTextFormattedCitation":"(Riski, 2021)","previouslyFormattedCitation":"(Riski, 2021)"},"properties":{"noteIndex":0},"schema":"https://github.com/citation-style-language/schema/raw/master/csl-citation.json"}</w:instrText>
      </w:r>
      <w:r w:rsidRPr="00BE6EE7">
        <w:rPr>
          <w:rFonts w:ascii="Times New Roman" w:eastAsia="Times New Roman" w:hAnsi="Times New Roman" w:cs="Times New Roman"/>
          <w:color w:val="000000"/>
          <w:lang w:val="id-ID"/>
        </w:rPr>
        <w:fldChar w:fldCharType="separate"/>
      </w:r>
      <w:r w:rsidRPr="00BE6EE7">
        <w:rPr>
          <w:rFonts w:ascii="Times New Roman" w:eastAsia="Times New Roman" w:hAnsi="Times New Roman" w:cs="Times New Roman"/>
          <w:noProof/>
          <w:color w:val="000000"/>
          <w:lang w:val="id-ID"/>
        </w:rPr>
        <w:t>Riski (2021)</w:t>
      </w:r>
      <w:r w:rsidRPr="00BE6EE7">
        <w:rPr>
          <w:rFonts w:ascii="Times New Roman" w:eastAsia="Times New Roman" w:hAnsi="Times New Roman" w:cs="Times New Roman"/>
          <w:color w:val="000000"/>
          <w:lang w:val="id-ID"/>
        </w:rPr>
        <w:fldChar w:fldCharType="end"/>
      </w:r>
      <w:r w:rsidRPr="00BE6EE7">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rPr>
        <w:t xml:space="preserve">peningkatan impor tembakau disebabkan oleh konsumsi rokok masyarakat Indonesia yang meningkat. Peningkatan stres akibat pembatasan aktivitas menyebabkan masyarakat meningkatkan konsumsi rokok untuk mengurangi stres. Mayoritas rokok yang dikonsumsi masyarakat Indonesia berbahan baku tembakau virginia, yang mana jenis ini masih jarang dibudidayakan di Indonesia, hal ini lah yang kemudian menjadi salah satu penyebab impor tembakau di Indonesia tinggi. </w:t>
      </w:r>
    </w:p>
    <w:p w:rsidR="0054555F" w:rsidRDefault="0054555F" w:rsidP="00CB146D">
      <w:pPr>
        <w:spacing w:after="0" w:line="240" w:lineRule="auto"/>
        <w:ind w:firstLine="567"/>
        <w:jc w:val="both"/>
        <w:rPr>
          <w:rFonts w:ascii="Times New Roman" w:eastAsia="Times New Roman" w:hAnsi="Times New Roman" w:cs="Times New Roman"/>
          <w:color w:val="000000"/>
          <w:lang w:val="id-ID"/>
        </w:rPr>
      </w:pPr>
      <w:r w:rsidRPr="00BE6EE7">
        <w:rPr>
          <w:rFonts w:ascii="Times New Roman" w:eastAsia="Times New Roman" w:hAnsi="Times New Roman" w:cs="Times New Roman"/>
          <w:color w:val="000000"/>
        </w:rPr>
        <w:t xml:space="preserve">Integrasi antara Indonesia dengan Amerika Serikat pada saat pandemi menunjukkan peningkatan. Integrasi yang terjadi sebelum pandemi menunjukkan hasil yang tergolong sedang, namun saat adanya pandemi integrasi yang terjadi justru menjadi kuat. Hal ini dikarenakan ekspor komoditas tembakau Indonesia ke Amerika Serikat meningkat sedangkan impor menurun, semakin sedikit </w:t>
      </w:r>
      <w:r w:rsidRPr="00BE6EE7">
        <w:rPr>
          <w:rFonts w:ascii="Times New Roman" w:eastAsia="Times New Roman" w:hAnsi="Times New Roman" w:cs="Times New Roman"/>
          <w:i/>
          <w:color w:val="000000"/>
        </w:rPr>
        <w:t>margin</w:t>
      </w:r>
      <w:r w:rsidRPr="00BE6EE7">
        <w:rPr>
          <w:rFonts w:ascii="Times New Roman" w:eastAsia="Times New Roman" w:hAnsi="Times New Roman" w:cs="Times New Roman"/>
          <w:color w:val="000000"/>
        </w:rPr>
        <w:t xml:space="preserve"> ekpor dan impor suatu negara akan meningkatkan nilai IIT kedua negara tersebut. Peningkatan nilai ekspor tembakau Indonesia sebesar US$8.066.234,50 atau sebesar 50,68% dibandingkan dengan sebelum </w:t>
      </w:r>
      <w:r w:rsidRPr="00BE6EE7">
        <w:rPr>
          <w:rFonts w:ascii="Times New Roman" w:eastAsia="Times New Roman" w:hAnsi="Times New Roman" w:cs="Times New Roman"/>
          <w:color w:val="000000"/>
        </w:rPr>
        <w:lastRenderedPageBreak/>
        <w:t xml:space="preserve">pandemi Covid-19. Peningkatan ekspor ini disebabkan oleh tingkat stres masyarakat Amerika Serikat yang meningkat akibat </w:t>
      </w:r>
      <w:r w:rsidRPr="00BE6EE7">
        <w:rPr>
          <w:rFonts w:ascii="Times New Roman" w:eastAsia="Times New Roman" w:hAnsi="Times New Roman" w:cs="Times New Roman"/>
          <w:i/>
          <w:color w:val="000000"/>
        </w:rPr>
        <w:t>lockdown</w:t>
      </w:r>
      <w:r w:rsidRPr="00BE6EE7">
        <w:rPr>
          <w:rFonts w:ascii="Times New Roman" w:eastAsia="Times New Roman" w:hAnsi="Times New Roman" w:cs="Times New Roman"/>
          <w:color w:val="000000"/>
        </w:rPr>
        <w:t>, ketakutan terhadap penularan, dan ketidak pastian pekerjaan. Peningkatan permintaan terhadap rokok tentu akan berakibat terhadap permintaan tembakau sebagai bahan baku dasar pembuatan rokok, sehingga kemduian juga akan meningkatkan impor tembakau Amerika Serikat, salah satunya dari Indonesia</w:t>
      </w:r>
      <w:r w:rsidRPr="00BE6EE7">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lang w:val="id-ID"/>
        </w:rPr>
        <w:fldChar w:fldCharType="begin" w:fldLock="1"/>
      </w:r>
      <w:r w:rsidRPr="00BE6EE7">
        <w:rPr>
          <w:rFonts w:ascii="Times New Roman" w:eastAsia="Times New Roman" w:hAnsi="Times New Roman" w:cs="Times New Roman"/>
          <w:color w:val="000000"/>
          <w:lang w:val="id-ID"/>
        </w:rPr>
        <w:instrText>ADDIN CSL_CITATION {"citationItems":[{"id":"ITEM-1","itemData":{"DOI":"10.1016/j.drugpo.2021.103175","ISSN":"18734758","PMID":"33662811","abstract":"Background: The COVID-19 pandemic and associated public health prevention measures (e.g., “stay at home” orders) may impact tobacco supply and demand among consumers. This qualitative study identified multi-level drivers of shifts in inhaled tobacco product use and access patterns during the initial COVID-19 “lockdown” period in the United States. Methods: Between April⁠–May 2020, we conducted semi-structured telephone interviews (n = 44) with adults who use cigarettes and/or electronic nicotine delivery systems (ENDS). Transcripts were thematically analyzed using a socioecological framework. Results: Nearly all participants reported changes in their product use during lockdown, though patterns varied. Increased use was most common and was predominantly driven by individual-level factors: pandemic-related anxiety, boredom, and irregular routines. Decreased use was common among social users who cited fewer interpersonal interactions and fear of sharing products. At the community level, retail access impacted cigarette and ENDS use differently. While cigarettes were universally accessible, ENDS access was more limited, driving some to purchase products online. Delayed deliveries led some ENDS users to compensate with readily-available cigarettes. Conclusion: To mitigate ways that the COVID-19 pandemic may exacerbate an existing public health crisis, multi-level policy strategies, such as expanded virtual cessation services and implementation and enforcement of smoke-free home rules, can better support population health during this critical period. Policies that facilitate access to lower risk products can help minimize harm among those who cannot or do not want to quit smoking.","author":[{"dropping-particle":"","family":"Giovenco","given":"Daniel P.","non-dropping-particle":"","parse-names":false,"suffix":""},{"dropping-particle":"","family":"Spillane","given":"Torra E.","non-dropping-particle":"","parse-names":false,"suffix":""},{"dropping-particle":"","family":"Maggi","given":"Rachel M.","non-dropping-particle":"","parse-names":false,"suffix":""},{"dropping-particle":"","family":"Lee","given":"Esther Y.","non-dropping-particle":"","parse-names":false,"suffix":""},{"dropping-particle":"","family":"Philbin","given":"Morgan M.","non-dropping-particle":"","parse-names":false,"suffix":""}],"container-title":"International Journal of Drug Policy","id":"ITEM-1","issue":"1","issued":{"date-parts":[["2021"]]},"page":"1-8","publisher":"Elsevier B.V.","title":"Multi-level Drivers of Tobacco Use and Purchasing Pehaviors during COVID-19 “Lockdown”: A Qualitative Study in the United States","type":"article-journal","volume":"94"},"uris":["http://www.mendeley.com/documents/?uuid=a2ca9e96-7f2e-468d-9b25-5d4d404acfff"]}],"mendeley":{"formattedCitation":"(Giovenco, Spillane, Maggi, Lee, &amp; Philbin, 2021)","manualFormatting":"(Giovenco et al., 2021)","plainTextFormattedCitation":"(Giovenco, Spillane, Maggi, Lee, &amp; Philbin, 2021)","previouslyFormattedCitation":"(Giovenco, Spillane, Maggi, Lee, &amp; Philbin, 2021)"},"properties":{"noteIndex":0},"schema":"https://github.com/citation-style-language/schema/raw/master/csl-citation.json"}</w:instrText>
      </w:r>
      <w:r w:rsidRPr="00BE6EE7">
        <w:rPr>
          <w:rFonts w:ascii="Times New Roman" w:eastAsia="Times New Roman" w:hAnsi="Times New Roman" w:cs="Times New Roman"/>
          <w:color w:val="000000"/>
          <w:lang w:val="id-ID"/>
        </w:rPr>
        <w:fldChar w:fldCharType="separate"/>
      </w:r>
      <w:r w:rsidRPr="00BE6EE7">
        <w:rPr>
          <w:rFonts w:ascii="Times New Roman" w:eastAsia="Times New Roman" w:hAnsi="Times New Roman" w:cs="Times New Roman"/>
          <w:noProof/>
          <w:color w:val="000000"/>
          <w:lang w:val="id-ID"/>
        </w:rPr>
        <w:t xml:space="preserve">(Giovenco </w:t>
      </w:r>
      <w:r w:rsidRPr="00BE6EE7">
        <w:rPr>
          <w:rFonts w:ascii="Times New Roman" w:eastAsia="Times New Roman" w:hAnsi="Times New Roman" w:cs="Times New Roman"/>
          <w:i/>
          <w:noProof/>
          <w:color w:val="000000"/>
          <w:lang w:val="id-ID"/>
        </w:rPr>
        <w:t>et al.</w:t>
      </w:r>
      <w:r w:rsidRPr="00BE6EE7">
        <w:rPr>
          <w:rFonts w:ascii="Times New Roman" w:eastAsia="Times New Roman" w:hAnsi="Times New Roman" w:cs="Times New Roman"/>
          <w:noProof/>
          <w:color w:val="000000"/>
          <w:lang w:val="id-ID"/>
        </w:rPr>
        <w:t>, 2021)</w:t>
      </w:r>
      <w:r w:rsidRPr="00BE6EE7">
        <w:rPr>
          <w:rFonts w:ascii="Times New Roman" w:eastAsia="Times New Roman" w:hAnsi="Times New Roman" w:cs="Times New Roman"/>
          <w:color w:val="000000"/>
          <w:lang w:val="id-ID"/>
        </w:rPr>
        <w:fldChar w:fldCharType="end"/>
      </w:r>
      <w:r w:rsidRPr="00BE6EE7">
        <w:rPr>
          <w:rFonts w:ascii="Times New Roman" w:eastAsia="Times New Roman" w:hAnsi="Times New Roman" w:cs="Times New Roman"/>
          <w:color w:val="000000"/>
          <w:lang w:val="id-ID"/>
        </w:rPr>
        <w:t>.</w:t>
      </w:r>
    </w:p>
    <w:p w:rsidR="00402727" w:rsidRPr="00BE6EE7" w:rsidRDefault="00402727" w:rsidP="00CB146D">
      <w:pPr>
        <w:spacing w:after="0" w:line="240" w:lineRule="auto"/>
        <w:ind w:firstLine="567"/>
        <w:jc w:val="both"/>
        <w:rPr>
          <w:rFonts w:ascii="Times New Roman" w:eastAsia="Times New Roman" w:hAnsi="Times New Roman" w:cs="Times New Roman"/>
          <w:color w:val="000000"/>
        </w:rPr>
      </w:pPr>
    </w:p>
    <w:p w:rsidR="009F122B" w:rsidRPr="00BE6EE7" w:rsidRDefault="009F122B" w:rsidP="00CB146D">
      <w:pPr>
        <w:spacing w:after="0" w:line="240" w:lineRule="auto"/>
        <w:jc w:val="both"/>
        <w:rPr>
          <w:rFonts w:ascii="Times New Roman" w:hAnsi="Times New Roman" w:cs="Times New Roman"/>
          <w:b/>
          <w:color w:val="000000"/>
          <w:lang w:val="id-ID"/>
        </w:rPr>
      </w:pPr>
      <w:r w:rsidRPr="00BE6EE7">
        <w:rPr>
          <w:rFonts w:ascii="Times New Roman" w:hAnsi="Times New Roman" w:cs="Times New Roman"/>
          <w:b/>
          <w:i/>
          <w:color w:val="000000"/>
          <w:lang w:val="id-ID"/>
        </w:rPr>
        <w:t>Revealed Comparative Advantage</w:t>
      </w:r>
      <w:r w:rsidRPr="00BE6EE7">
        <w:rPr>
          <w:rFonts w:ascii="Times New Roman" w:hAnsi="Times New Roman" w:cs="Times New Roman"/>
          <w:b/>
          <w:color w:val="000000"/>
          <w:lang w:val="id-ID"/>
        </w:rPr>
        <w:t xml:space="preserve"> (RCA)</w:t>
      </w:r>
    </w:p>
    <w:p w:rsidR="009F122B" w:rsidRPr="00BE6EE7" w:rsidRDefault="009F122B" w:rsidP="00CB146D">
      <w:pPr>
        <w:spacing w:after="0" w:line="240" w:lineRule="auto"/>
        <w:ind w:firstLine="567"/>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 xml:space="preserve">Daya saing tembakau di suatu negara dapat dilihat salah satunya dari keunggulan komparatif. Keunggulan komparatif adalah kemampuan yang dimiliki suatu negara di mana negara tersebut akan memperoleh keuntungan apabila melakukan spesialisasi produksi. Keunggulan komparatif dapat diketahui dengan membandingkan nilai ekspor Indonesia (ekspor tembakau dan total ekspor) di negara tujuan utama terhadap nilai ekspor dunia (ekspor tembakau dan total ekspor) di negara tujuan utama. Berikut hasil analisis </w:t>
      </w:r>
      <w:r w:rsidR="0036229C">
        <w:rPr>
          <w:rFonts w:ascii="Times New Roman" w:eastAsia="Times New Roman" w:hAnsi="Times New Roman" w:cs="Times New Roman"/>
          <w:color w:val="000000"/>
        </w:rPr>
        <w:t xml:space="preserve">RCA </w:t>
      </w:r>
      <w:r w:rsidRPr="00BE6EE7">
        <w:rPr>
          <w:rFonts w:ascii="Times New Roman" w:eastAsia="Times New Roman" w:hAnsi="Times New Roman" w:cs="Times New Roman"/>
          <w:color w:val="000000"/>
        </w:rPr>
        <w:t>di negara tujuan utama sebelum dan saat Covid-19.</w:t>
      </w:r>
    </w:p>
    <w:p w:rsidR="009F122B" w:rsidRPr="00402727" w:rsidRDefault="0043706E" w:rsidP="00CB146D">
      <w:pPr>
        <w:spacing w:after="0" w:line="240" w:lineRule="auto"/>
        <w:ind w:left="826" w:hanging="826"/>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rPr>
        <w:t>Tabel 3</w:t>
      </w:r>
      <w:r w:rsidR="005E3497">
        <w:rPr>
          <w:rFonts w:ascii="Times New Roman" w:eastAsia="Times New Roman" w:hAnsi="Times New Roman" w:cs="Times New Roman"/>
          <w:color w:val="000000"/>
          <w:lang w:val="id-ID"/>
        </w:rPr>
        <w:t>.</w:t>
      </w:r>
      <w:r w:rsidRPr="00BE6EE7">
        <w:rPr>
          <w:rFonts w:ascii="Times New Roman" w:eastAsia="Times New Roman" w:hAnsi="Times New Roman" w:cs="Times New Roman"/>
          <w:color w:val="000000"/>
        </w:rPr>
        <w:t xml:space="preserve"> Nilai RCA </w:t>
      </w:r>
      <w:r w:rsidR="00402727">
        <w:rPr>
          <w:rFonts w:ascii="Times New Roman" w:eastAsia="Times New Roman" w:hAnsi="Times New Roman" w:cs="Times New Roman"/>
          <w:color w:val="000000"/>
        </w:rPr>
        <w:t>komoditas tembakau I</w:t>
      </w:r>
      <w:r w:rsidR="00402727" w:rsidRPr="00BE6EE7">
        <w:rPr>
          <w:rFonts w:ascii="Times New Roman" w:eastAsia="Times New Roman" w:hAnsi="Times New Roman" w:cs="Times New Roman"/>
          <w:color w:val="000000"/>
        </w:rPr>
        <w:t>ndonesia di negara tujuan utama</w:t>
      </w:r>
      <w:r w:rsidR="00402727">
        <w:rPr>
          <w:rFonts w:ascii="Times New Roman" w:eastAsia="Times New Roman" w:hAnsi="Times New Roman" w:cs="Times New Roman"/>
          <w:color w:val="000000"/>
          <w:lang w:val="id-ID"/>
        </w:rPr>
        <w:t xml:space="preserve"> </w:t>
      </w:r>
      <w:r w:rsidR="00402727" w:rsidRPr="00BE6EE7">
        <w:rPr>
          <w:rFonts w:ascii="Times New Roman" w:eastAsia="Times New Roman" w:hAnsi="Times New Roman" w:cs="Times New Roman"/>
          <w:color w:val="000000"/>
        </w:rPr>
        <w:t>tahun</w:t>
      </w:r>
      <w:r w:rsidRPr="00BE6EE7">
        <w:rPr>
          <w:rFonts w:ascii="Times New Roman" w:eastAsia="Times New Roman" w:hAnsi="Times New Roman" w:cs="Times New Roman"/>
          <w:color w:val="000000"/>
        </w:rPr>
        <w:t xml:space="preserve"> 2018 – 2021</w:t>
      </w:r>
    </w:p>
    <w:tbl>
      <w:tblPr>
        <w:tblStyle w:val="TableGrid"/>
        <w:tblW w:w="79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417"/>
        <w:gridCol w:w="1418"/>
        <w:gridCol w:w="1417"/>
        <w:gridCol w:w="1418"/>
      </w:tblGrid>
      <w:tr w:rsidR="00402727" w:rsidRPr="00BE6EE7" w:rsidTr="00FE2C4A">
        <w:tc>
          <w:tcPr>
            <w:tcW w:w="2268" w:type="dxa"/>
            <w:tcBorders>
              <w:top w:val="single" w:sz="4" w:space="0" w:color="auto"/>
              <w:bottom w:val="single" w:sz="4" w:space="0" w:color="auto"/>
            </w:tcBorders>
            <w:vAlign w:val="center"/>
            <w:hideMark/>
          </w:tcPr>
          <w:p w:rsidR="00402727" w:rsidRPr="0036229C" w:rsidRDefault="00402727" w:rsidP="00CB146D">
            <w:pPr>
              <w:jc w:val="center"/>
              <w:rPr>
                <w:rFonts w:ascii="Times New Roman" w:eastAsia="Times New Roman" w:hAnsi="Times New Roman" w:cs="Times New Roman"/>
                <w:color w:val="000000"/>
                <w:sz w:val="20"/>
                <w:szCs w:val="20"/>
              </w:rPr>
            </w:pPr>
            <w:r w:rsidRPr="0036229C">
              <w:rPr>
                <w:rFonts w:ascii="Times New Roman" w:eastAsia="Times New Roman" w:hAnsi="Times New Roman" w:cs="Times New Roman"/>
                <w:color w:val="000000"/>
                <w:sz w:val="20"/>
                <w:szCs w:val="20"/>
              </w:rPr>
              <w:t>Negara</w:t>
            </w:r>
          </w:p>
        </w:tc>
        <w:tc>
          <w:tcPr>
            <w:tcW w:w="1417" w:type="dxa"/>
            <w:tcBorders>
              <w:top w:val="single" w:sz="4" w:space="0" w:color="auto"/>
              <w:bottom w:val="single" w:sz="4" w:space="0" w:color="auto"/>
            </w:tcBorders>
            <w:vAlign w:val="center"/>
            <w:hideMark/>
          </w:tcPr>
          <w:p w:rsidR="00402727" w:rsidRPr="0036229C" w:rsidRDefault="00402727" w:rsidP="00CB146D">
            <w:pPr>
              <w:jc w:val="center"/>
              <w:rPr>
                <w:rFonts w:ascii="Times New Roman" w:eastAsia="Times New Roman" w:hAnsi="Times New Roman" w:cs="Times New Roman"/>
                <w:color w:val="000000"/>
                <w:sz w:val="20"/>
                <w:szCs w:val="20"/>
              </w:rPr>
            </w:pPr>
            <w:r w:rsidRPr="0036229C">
              <w:rPr>
                <w:rFonts w:ascii="Times New Roman" w:eastAsia="Times New Roman" w:hAnsi="Times New Roman" w:cs="Times New Roman"/>
                <w:color w:val="000000"/>
                <w:sz w:val="20"/>
                <w:szCs w:val="20"/>
              </w:rPr>
              <w:t>Sebelum Covid-19</w:t>
            </w:r>
          </w:p>
        </w:tc>
        <w:tc>
          <w:tcPr>
            <w:tcW w:w="1418" w:type="dxa"/>
            <w:tcBorders>
              <w:top w:val="single" w:sz="4" w:space="0" w:color="auto"/>
              <w:bottom w:val="single" w:sz="4" w:space="0" w:color="auto"/>
            </w:tcBorders>
            <w:vAlign w:val="center"/>
            <w:hideMark/>
          </w:tcPr>
          <w:p w:rsidR="00402727" w:rsidRPr="0036229C" w:rsidRDefault="00402727" w:rsidP="0036229C">
            <w:pPr>
              <w:jc w:val="center"/>
              <w:rPr>
                <w:rFonts w:ascii="Times New Roman" w:eastAsia="Times New Roman" w:hAnsi="Times New Roman" w:cs="Times New Roman"/>
                <w:color w:val="000000"/>
                <w:sz w:val="20"/>
                <w:szCs w:val="20"/>
              </w:rPr>
            </w:pPr>
            <w:r w:rsidRPr="0036229C">
              <w:rPr>
                <w:rFonts w:ascii="Times New Roman" w:eastAsia="Times New Roman" w:hAnsi="Times New Roman" w:cs="Times New Roman"/>
                <w:color w:val="000000"/>
                <w:sz w:val="20"/>
                <w:szCs w:val="20"/>
              </w:rPr>
              <w:t>Indikator</w:t>
            </w:r>
          </w:p>
        </w:tc>
        <w:tc>
          <w:tcPr>
            <w:tcW w:w="1417" w:type="dxa"/>
            <w:tcBorders>
              <w:top w:val="single" w:sz="4" w:space="0" w:color="auto"/>
              <w:bottom w:val="single" w:sz="4" w:space="0" w:color="auto"/>
            </w:tcBorders>
            <w:vAlign w:val="center"/>
            <w:hideMark/>
          </w:tcPr>
          <w:p w:rsidR="00402727" w:rsidRPr="0036229C" w:rsidRDefault="00402727" w:rsidP="00CB146D">
            <w:pPr>
              <w:jc w:val="center"/>
              <w:rPr>
                <w:rFonts w:ascii="Times New Roman" w:eastAsia="Times New Roman" w:hAnsi="Times New Roman" w:cs="Times New Roman"/>
                <w:color w:val="000000"/>
                <w:sz w:val="20"/>
                <w:szCs w:val="20"/>
              </w:rPr>
            </w:pPr>
            <w:r w:rsidRPr="0036229C">
              <w:rPr>
                <w:rFonts w:ascii="Times New Roman" w:eastAsia="Times New Roman" w:hAnsi="Times New Roman" w:cs="Times New Roman"/>
                <w:color w:val="000000"/>
                <w:sz w:val="20"/>
                <w:szCs w:val="20"/>
              </w:rPr>
              <w:t>Saat Covid-19</w:t>
            </w:r>
          </w:p>
        </w:tc>
        <w:tc>
          <w:tcPr>
            <w:tcW w:w="1418" w:type="dxa"/>
            <w:tcBorders>
              <w:top w:val="single" w:sz="4" w:space="0" w:color="auto"/>
              <w:bottom w:val="single" w:sz="4" w:space="0" w:color="auto"/>
            </w:tcBorders>
            <w:vAlign w:val="center"/>
            <w:hideMark/>
          </w:tcPr>
          <w:p w:rsidR="00402727" w:rsidRPr="0036229C" w:rsidRDefault="00402727" w:rsidP="0036229C">
            <w:pPr>
              <w:jc w:val="center"/>
              <w:rPr>
                <w:rFonts w:ascii="Times New Roman" w:eastAsia="Times New Roman" w:hAnsi="Times New Roman" w:cs="Times New Roman"/>
                <w:color w:val="000000"/>
                <w:sz w:val="20"/>
                <w:szCs w:val="20"/>
              </w:rPr>
            </w:pPr>
            <w:r w:rsidRPr="0036229C">
              <w:rPr>
                <w:rFonts w:ascii="Times New Roman" w:eastAsia="Times New Roman" w:hAnsi="Times New Roman" w:cs="Times New Roman"/>
                <w:color w:val="000000"/>
                <w:sz w:val="20"/>
                <w:szCs w:val="20"/>
              </w:rPr>
              <w:t>Indikator</w:t>
            </w:r>
          </w:p>
        </w:tc>
      </w:tr>
      <w:tr w:rsidR="00402727" w:rsidRPr="00BE6EE7" w:rsidTr="00FE2C4A">
        <w:tc>
          <w:tcPr>
            <w:tcW w:w="2268" w:type="dxa"/>
            <w:tcBorders>
              <w:top w:val="single" w:sz="4" w:space="0" w:color="auto"/>
            </w:tcBorders>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eastAsia="Times New Roman" w:hAnsi="Times New Roman" w:cs="Times New Roman"/>
                <w:color w:val="000000"/>
                <w:sz w:val="20"/>
                <w:szCs w:val="20"/>
              </w:rPr>
              <w:t>Belgia</w:t>
            </w:r>
          </w:p>
        </w:tc>
        <w:tc>
          <w:tcPr>
            <w:tcW w:w="1417" w:type="dxa"/>
            <w:tcBorders>
              <w:top w:val="single" w:sz="4" w:space="0" w:color="auto"/>
            </w:tcBorders>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80,48</w:t>
            </w:r>
          </w:p>
        </w:tc>
        <w:tc>
          <w:tcPr>
            <w:tcW w:w="1418" w:type="dxa"/>
            <w:tcBorders>
              <w:top w:val="single" w:sz="4" w:space="0" w:color="auto"/>
            </w:tcBorders>
            <w:vAlign w:val="center"/>
            <w:hideMark/>
          </w:tcPr>
          <w:p w:rsidR="00402727" w:rsidRPr="0036229C" w:rsidRDefault="00402727" w:rsidP="00CB146D">
            <w:pPr>
              <w:rPr>
                <w:rFonts w:ascii="Times New Roman" w:hAnsi="Times New Roman" w:cs="Times New Roman"/>
                <w:color w:val="000000"/>
                <w:sz w:val="20"/>
                <w:szCs w:val="20"/>
              </w:rPr>
            </w:pPr>
            <w:r w:rsidRPr="0036229C">
              <w:rPr>
                <w:rFonts w:ascii="Times New Roman" w:hAnsi="Times New Roman" w:cs="Times New Roman"/>
                <w:color w:val="000000"/>
                <w:sz w:val="20"/>
                <w:szCs w:val="20"/>
              </w:rPr>
              <w:t>Kuat</w:t>
            </w:r>
          </w:p>
        </w:tc>
        <w:tc>
          <w:tcPr>
            <w:tcW w:w="1417" w:type="dxa"/>
            <w:tcBorders>
              <w:top w:val="single" w:sz="4" w:space="0" w:color="auto"/>
            </w:tcBorders>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48,40</w:t>
            </w:r>
          </w:p>
        </w:tc>
        <w:tc>
          <w:tcPr>
            <w:tcW w:w="1418" w:type="dxa"/>
            <w:tcBorders>
              <w:top w:val="single" w:sz="4" w:space="0" w:color="auto"/>
            </w:tcBorders>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hAnsi="Times New Roman" w:cs="Times New Roman"/>
                <w:color w:val="000000"/>
                <w:sz w:val="20"/>
                <w:szCs w:val="20"/>
              </w:rPr>
              <w:t>Kuat</w:t>
            </w:r>
          </w:p>
        </w:tc>
      </w:tr>
      <w:tr w:rsidR="00402727" w:rsidRPr="00BE6EE7" w:rsidTr="00FE2C4A">
        <w:tc>
          <w:tcPr>
            <w:tcW w:w="2268" w:type="dxa"/>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eastAsia="Times New Roman" w:hAnsi="Times New Roman" w:cs="Times New Roman"/>
                <w:color w:val="000000"/>
                <w:sz w:val="20"/>
                <w:szCs w:val="20"/>
              </w:rPr>
              <w:t>Singapura</w:t>
            </w:r>
          </w:p>
        </w:tc>
        <w:tc>
          <w:tcPr>
            <w:tcW w:w="1417" w:type="dxa"/>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9,98</w:t>
            </w:r>
          </w:p>
        </w:tc>
        <w:tc>
          <w:tcPr>
            <w:tcW w:w="1418" w:type="dxa"/>
            <w:vAlign w:val="center"/>
            <w:hideMark/>
          </w:tcPr>
          <w:p w:rsidR="00402727" w:rsidRPr="0036229C" w:rsidRDefault="00402727" w:rsidP="00CB146D">
            <w:pPr>
              <w:rPr>
                <w:rFonts w:ascii="Times New Roman" w:hAnsi="Times New Roman" w:cs="Times New Roman"/>
                <w:color w:val="000000"/>
                <w:sz w:val="20"/>
                <w:szCs w:val="20"/>
              </w:rPr>
            </w:pPr>
            <w:r w:rsidRPr="0036229C">
              <w:rPr>
                <w:rFonts w:ascii="Times New Roman" w:hAnsi="Times New Roman" w:cs="Times New Roman"/>
                <w:color w:val="000000"/>
                <w:sz w:val="20"/>
                <w:szCs w:val="20"/>
              </w:rPr>
              <w:t>Kuat</w:t>
            </w:r>
          </w:p>
        </w:tc>
        <w:tc>
          <w:tcPr>
            <w:tcW w:w="1417" w:type="dxa"/>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14,08</w:t>
            </w:r>
          </w:p>
        </w:tc>
        <w:tc>
          <w:tcPr>
            <w:tcW w:w="1418" w:type="dxa"/>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hAnsi="Times New Roman" w:cs="Times New Roman"/>
                <w:color w:val="000000"/>
                <w:sz w:val="20"/>
                <w:szCs w:val="20"/>
              </w:rPr>
              <w:t>Kuat</w:t>
            </w:r>
          </w:p>
        </w:tc>
      </w:tr>
      <w:tr w:rsidR="00402727" w:rsidRPr="00BE6EE7" w:rsidTr="00FE2C4A">
        <w:tc>
          <w:tcPr>
            <w:tcW w:w="2268" w:type="dxa"/>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eastAsia="Times New Roman" w:hAnsi="Times New Roman" w:cs="Times New Roman"/>
                <w:color w:val="000000"/>
                <w:sz w:val="20"/>
                <w:szCs w:val="20"/>
              </w:rPr>
              <w:t>Republik Dominika</w:t>
            </w:r>
          </w:p>
        </w:tc>
        <w:tc>
          <w:tcPr>
            <w:tcW w:w="1417" w:type="dxa"/>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9,67</w:t>
            </w:r>
          </w:p>
        </w:tc>
        <w:tc>
          <w:tcPr>
            <w:tcW w:w="1418" w:type="dxa"/>
            <w:vAlign w:val="center"/>
            <w:hideMark/>
          </w:tcPr>
          <w:p w:rsidR="00402727" w:rsidRPr="0036229C" w:rsidRDefault="00402727" w:rsidP="00CB146D">
            <w:pPr>
              <w:rPr>
                <w:rFonts w:ascii="Times New Roman" w:hAnsi="Times New Roman" w:cs="Times New Roman"/>
                <w:color w:val="000000"/>
                <w:sz w:val="20"/>
                <w:szCs w:val="20"/>
              </w:rPr>
            </w:pPr>
            <w:r w:rsidRPr="0036229C">
              <w:rPr>
                <w:rFonts w:ascii="Times New Roman" w:hAnsi="Times New Roman" w:cs="Times New Roman"/>
                <w:color w:val="000000"/>
                <w:sz w:val="20"/>
                <w:szCs w:val="20"/>
              </w:rPr>
              <w:t>Kuat</w:t>
            </w:r>
          </w:p>
        </w:tc>
        <w:tc>
          <w:tcPr>
            <w:tcW w:w="1417" w:type="dxa"/>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10,65</w:t>
            </w:r>
          </w:p>
        </w:tc>
        <w:tc>
          <w:tcPr>
            <w:tcW w:w="1418" w:type="dxa"/>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hAnsi="Times New Roman" w:cs="Times New Roman"/>
                <w:color w:val="000000"/>
                <w:sz w:val="20"/>
                <w:szCs w:val="20"/>
              </w:rPr>
              <w:t>Kuat</w:t>
            </w:r>
          </w:p>
        </w:tc>
      </w:tr>
      <w:tr w:rsidR="00402727" w:rsidRPr="00BE6EE7" w:rsidTr="00FE2C4A">
        <w:tc>
          <w:tcPr>
            <w:tcW w:w="2268" w:type="dxa"/>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eastAsia="Times New Roman" w:hAnsi="Times New Roman" w:cs="Times New Roman"/>
                <w:color w:val="000000"/>
                <w:sz w:val="20"/>
                <w:szCs w:val="20"/>
              </w:rPr>
              <w:t>Sri Lanka</w:t>
            </w:r>
          </w:p>
        </w:tc>
        <w:tc>
          <w:tcPr>
            <w:tcW w:w="1417" w:type="dxa"/>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64,81</w:t>
            </w:r>
          </w:p>
        </w:tc>
        <w:tc>
          <w:tcPr>
            <w:tcW w:w="1418" w:type="dxa"/>
            <w:vAlign w:val="center"/>
            <w:hideMark/>
          </w:tcPr>
          <w:p w:rsidR="00402727" w:rsidRPr="0036229C" w:rsidRDefault="00402727" w:rsidP="00CB146D">
            <w:pPr>
              <w:rPr>
                <w:rFonts w:ascii="Times New Roman" w:hAnsi="Times New Roman" w:cs="Times New Roman"/>
                <w:color w:val="000000"/>
                <w:sz w:val="20"/>
                <w:szCs w:val="20"/>
              </w:rPr>
            </w:pPr>
            <w:r w:rsidRPr="0036229C">
              <w:rPr>
                <w:rFonts w:ascii="Times New Roman" w:hAnsi="Times New Roman" w:cs="Times New Roman"/>
                <w:color w:val="000000"/>
                <w:sz w:val="20"/>
                <w:szCs w:val="20"/>
              </w:rPr>
              <w:t>Kuat</w:t>
            </w:r>
          </w:p>
        </w:tc>
        <w:tc>
          <w:tcPr>
            <w:tcW w:w="1417" w:type="dxa"/>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8,58</w:t>
            </w:r>
          </w:p>
        </w:tc>
        <w:tc>
          <w:tcPr>
            <w:tcW w:w="1418" w:type="dxa"/>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hAnsi="Times New Roman" w:cs="Times New Roman"/>
                <w:color w:val="000000"/>
                <w:sz w:val="20"/>
                <w:szCs w:val="20"/>
              </w:rPr>
              <w:t>Kuat</w:t>
            </w:r>
          </w:p>
        </w:tc>
      </w:tr>
      <w:tr w:rsidR="00402727" w:rsidRPr="00BE6EE7" w:rsidTr="00FE2C4A">
        <w:tc>
          <w:tcPr>
            <w:tcW w:w="2268" w:type="dxa"/>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eastAsia="Times New Roman" w:hAnsi="Times New Roman" w:cs="Times New Roman"/>
                <w:color w:val="000000"/>
                <w:sz w:val="20"/>
                <w:szCs w:val="20"/>
              </w:rPr>
              <w:t>Jerman</w:t>
            </w:r>
          </w:p>
        </w:tc>
        <w:tc>
          <w:tcPr>
            <w:tcW w:w="1417" w:type="dxa"/>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12,94</w:t>
            </w:r>
          </w:p>
        </w:tc>
        <w:tc>
          <w:tcPr>
            <w:tcW w:w="1418" w:type="dxa"/>
            <w:vAlign w:val="center"/>
            <w:hideMark/>
          </w:tcPr>
          <w:p w:rsidR="00402727" w:rsidRPr="0036229C" w:rsidRDefault="00402727" w:rsidP="00CB146D">
            <w:pPr>
              <w:rPr>
                <w:rFonts w:ascii="Times New Roman" w:hAnsi="Times New Roman" w:cs="Times New Roman"/>
                <w:color w:val="000000"/>
                <w:sz w:val="20"/>
                <w:szCs w:val="20"/>
              </w:rPr>
            </w:pPr>
            <w:r w:rsidRPr="0036229C">
              <w:rPr>
                <w:rFonts w:ascii="Times New Roman" w:hAnsi="Times New Roman" w:cs="Times New Roman"/>
                <w:color w:val="000000"/>
                <w:sz w:val="20"/>
                <w:szCs w:val="20"/>
              </w:rPr>
              <w:t>Kuat</w:t>
            </w:r>
          </w:p>
        </w:tc>
        <w:tc>
          <w:tcPr>
            <w:tcW w:w="1417" w:type="dxa"/>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19,93</w:t>
            </w:r>
          </w:p>
        </w:tc>
        <w:tc>
          <w:tcPr>
            <w:tcW w:w="1418" w:type="dxa"/>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hAnsi="Times New Roman" w:cs="Times New Roman"/>
                <w:color w:val="000000"/>
                <w:sz w:val="20"/>
                <w:szCs w:val="20"/>
              </w:rPr>
              <w:t>Kuat</w:t>
            </w:r>
          </w:p>
        </w:tc>
      </w:tr>
      <w:tr w:rsidR="00402727" w:rsidRPr="00BE6EE7" w:rsidTr="00FE2C4A">
        <w:tc>
          <w:tcPr>
            <w:tcW w:w="2268" w:type="dxa"/>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eastAsia="Times New Roman" w:hAnsi="Times New Roman" w:cs="Times New Roman"/>
                <w:color w:val="000000"/>
                <w:sz w:val="20"/>
                <w:szCs w:val="20"/>
              </w:rPr>
              <w:t>Belanda</w:t>
            </w:r>
          </w:p>
        </w:tc>
        <w:tc>
          <w:tcPr>
            <w:tcW w:w="1417" w:type="dxa"/>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6,07</w:t>
            </w:r>
          </w:p>
        </w:tc>
        <w:tc>
          <w:tcPr>
            <w:tcW w:w="1418" w:type="dxa"/>
            <w:vAlign w:val="center"/>
            <w:hideMark/>
          </w:tcPr>
          <w:p w:rsidR="00402727" w:rsidRPr="0036229C" w:rsidRDefault="00402727" w:rsidP="00CB146D">
            <w:pPr>
              <w:rPr>
                <w:rFonts w:ascii="Times New Roman" w:hAnsi="Times New Roman" w:cs="Times New Roman"/>
                <w:color w:val="000000"/>
                <w:sz w:val="20"/>
                <w:szCs w:val="20"/>
              </w:rPr>
            </w:pPr>
            <w:r w:rsidRPr="0036229C">
              <w:rPr>
                <w:rFonts w:ascii="Times New Roman" w:hAnsi="Times New Roman" w:cs="Times New Roman"/>
                <w:color w:val="000000"/>
                <w:sz w:val="20"/>
                <w:szCs w:val="20"/>
              </w:rPr>
              <w:t>Kuat</w:t>
            </w:r>
          </w:p>
        </w:tc>
        <w:tc>
          <w:tcPr>
            <w:tcW w:w="1417" w:type="dxa"/>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4,48</w:t>
            </w:r>
          </w:p>
        </w:tc>
        <w:tc>
          <w:tcPr>
            <w:tcW w:w="1418" w:type="dxa"/>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hAnsi="Times New Roman" w:cs="Times New Roman"/>
                <w:color w:val="000000"/>
                <w:sz w:val="20"/>
                <w:szCs w:val="20"/>
              </w:rPr>
              <w:t>Kuat</w:t>
            </w:r>
          </w:p>
        </w:tc>
      </w:tr>
      <w:tr w:rsidR="00402727" w:rsidRPr="00BE6EE7" w:rsidTr="00FE2C4A">
        <w:tc>
          <w:tcPr>
            <w:tcW w:w="2268" w:type="dxa"/>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eastAsia="Times New Roman" w:hAnsi="Times New Roman" w:cs="Times New Roman"/>
                <w:color w:val="000000"/>
                <w:sz w:val="20"/>
                <w:szCs w:val="20"/>
              </w:rPr>
              <w:t>Amerika Serikat</w:t>
            </w:r>
          </w:p>
        </w:tc>
        <w:tc>
          <w:tcPr>
            <w:tcW w:w="1417" w:type="dxa"/>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2,08</w:t>
            </w:r>
          </w:p>
        </w:tc>
        <w:tc>
          <w:tcPr>
            <w:tcW w:w="1418" w:type="dxa"/>
            <w:vAlign w:val="center"/>
            <w:hideMark/>
          </w:tcPr>
          <w:p w:rsidR="00402727" w:rsidRPr="0036229C" w:rsidRDefault="00402727" w:rsidP="00CB146D">
            <w:pPr>
              <w:rPr>
                <w:rFonts w:ascii="Times New Roman" w:hAnsi="Times New Roman" w:cs="Times New Roman"/>
                <w:color w:val="000000"/>
                <w:sz w:val="20"/>
                <w:szCs w:val="20"/>
              </w:rPr>
            </w:pPr>
            <w:r w:rsidRPr="0036229C">
              <w:rPr>
                <w:rFonts w:ascii="Times New Roman" w:hAnsi="Times New Roman" w:cs="Times New Roman"/>
                <w:color w:val="000000"/>
                <w:sz w:val="20"/>
                <w:szCs w:val="20"/>
              </w:rPr>
              <w:t>Kuat</w:t>
            </w:r>
          </w:p>
        </w:tc>
        <w:tc>
          <w:tcPr>
            <w:tcW w:w="1417" w:type="dxa"/>
            <w:vAlign w:val="center"/>
            <w:hideMark/>
          </w:tcPr>
          <w:p w:rsidR="00402727" w:rsidRPr="0036229C" w:rsidRDefault="00402727" w:rsidP="00CB146D">
            <w:pPr>
              <w:jc w:val="right"/>
              <w:rPr>
                <w:rFonts w:ascii="Times New Roman" w:hAnsi="Times New Roman" w:cs="Times New Roman"/>
                <w:color w:val="000000"/>
                <w:sz w:val="20"/>
                <w:szCs w:val="20"/>
              </w:rPr>
            </w:pPr>
            <w:r w:rsidRPr="0036229C">
              <w:rPr>
                <w:rFonts w:ascii="Times New Roman" w:hAnsi="Times New Roman" w:cs="Times New Roman"/>
                <w:color w:val="000000"/>
                <w:sz w:val="20"/>
                <w:szCs w:val="20"/>
              </w:rPr>
              <w:t>4,43</w:t>
            </w:r>
          </w:p>
        </w:tc>
        <w:tc>
          <w:tcPr>
            <w:tcW w:w="1418" w:type="dxa"/>
            <w:vAlign w:val="center"/>
            <w:hideMark/>
          </w:tcPr>
          <w:p w:rsidR="00402727" w:rsidRPr="0036229C" w:rsidRDefault="00402727" w:rsidP="00CB146D">
            <w:pPr>
              <w:rPr>
                <w:rFonts w:ascii="Times New Roman" w:eastAsia="Times New Roman" w:hAnsi="Times New Roman" w:cs="Times New Roman"/>
                <w:color w:val="000000"/>
                <w:sz w:val="20"/>
                <w:szCs w:val="20"/>
              </w:rPr>
            </w:pPr>
            <w:r w:rsidRPr="0036229C">
              <w:rPr>
                <w:rFonts w:ascii="Times New Roman" w:hAnsi="Times New Roman" w:cs="Times New Roman"/>
                <w:color w:val="000000"/>
                <w:sz w:val="20"/>
                <w:szCs w:val="20"/>
              </w:rPr>
              <w:t>Kuat</w:t>
            </w:r>
          </w:p>
        </w:tc>
      </w:tr>
    </w:tbl>
    <w:p w:rsidR="0043706E" w:rsidRPr="00EE585E" w:rsidRDefault="0043706E" w:rsidP="00CB146D">
      <w:pPr>
        <w:spacing w:after="0" w:line="240" w:lineRule="auto"/>
        <w:jc w:val="both"/>
        <w:rPr>
          <w:rFonts w:ascii="Times New Roman" w:eastAsia="Times New Roman" w:hAnsi="Times New Roman" w:cs="Times New Roman"/>
          <w:i/>
          <w:color w:val="000000"/>
          <w:sz w:val="20"/>
          <w:szCs w:val="20"/>
        </w:rPr>
      </w:pPr>
      <w:r w:rsidRPr="00EE585E">
        <w:rPr>
          <w:rFonts w:ascii="Times New Roman" w:eastAsia="Times New Roman" w:hAnsi="Times New Roman" w:cs="Times New Roman"/>
          <w:color w:val="000000"/>
          <w:sz w:val="20"/>
          <w:szCs w:val="20"/>
        </w:rPr>
        <w:t>Sumber :</w:t>
      </w:r>
      <w:r w:rsidRPr="00EE585E">
        <w:rPr>
          <w:rFonts w:ascii="Times New Roman" w:eastAsia="Times New Roman" w:hAnsi="Times New Roman" w:cs="Times New Roman"/>
          <w:i/>
          <w:color w:val="000000"/>
          <w:sz w:val="20"/>
          <w:szCs w:val="20"/>
        </w:rPr>
        <w:t xml:space="preserve"> </w:t>
      </w:r>
      <w:r w:rsidR="00412C0E">
        <w:rPr>
          <w:rFonts w:ascii="Times New Roman" w:eastAsia="Times New Roman" w:hAnsi="Times New Roman" w:cs="Times New Roman"/>
          <w:color w:val="000000"/>
          <w:sz w:val="20"/>
          <w:szCs w:val="20"/>
        </w:rPr>
        <w:t>data diolah, 2021</w:t>
      </w:r>
    </w:p>
    <w:p w:rsidR="00F85700" w:rsidRPr="00BE6EE7" w:rsidRDefault="005018A1" w:rsidP="00CB146D">
      <w:pPr>
        <w:spacing w:after="0" w:line="240" w:lineRule="auto"/>
        <w:ind w:firstLine="567"/>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lang w:val="id-ID"/>
        </w:rPr>
        <w:t>A</w:t>
      </w:r>
      <w:r w:rsidR="00F85700" w:rsidRPr="00BE6EE7">
        <w:rPr>
          <w:rFonts w:ascii="Times New Roman" w:eastAsia="Times New Roman" w:hAnsi="Times New Roman" w:cs="Times New Roman"/>
          <w:color w:val="000000"/>
        </w:rPr>
        <w:t>danya pandemi Covid-19 menyebabkan penurunan daya saing ekspor komoditas tembakau di sebagian negara tujuan utama, namun sebagian negara tujuan utama lainnya justru mengalami peningkatan. Penurunan daya saing ekspor komoditas tembakau Indonesia terjadi di negara Sri Lanka yakni sebesar 86,76% dari sebelum Covid-19, diikuti oleh Belgia dan Belanda dengan masing-masing penurunan yakni 39,86% dan 26,19%. Peningkatan daya saing ekspor komoditas tembakau Indonesia terbesar terjadi di Amerika Serikat yakni sebesar 112,98% dari sebelum Covid-19 serta secara berturut-turut diikuti oleh Jerman sebesar 54,02%, Singapura 41,08%, dan Republik Dominika sebesar 10,13%. Perubahan daya saing ekspor komoditas tembakau Indonesia di negara tujuan utama dipengaruhi oleh nilai ekspor Indonesia, baik nilai ekspor tembakau maupun nilai total ekspor, ke negara tujuan utama dan nilai ekspor dunia ke negara tujuan utama. Penilitian yang dilakukan oleh</w:t>
      </w:r>
      <w:r w:rsidR="00F85700" w:rsidRPr="00BE6EE7">
        <w:rPr>
          <w:rFonts w:ascii="Times New Roman" w:eastAsia="Times New Roman" w:hAnsi="Times New Roman" w:cs="Times New Roman"/>
          <w:color w:val="000000"/>
          <w:lang w:val="id-ID"/>
        </w:rPr>
        <w:t xml:space="preserve"> </w:t>
      </w:r>
      <w:r w:rsidR="00F85700" w:rsidRPr="00BE6EE7">
        <w:rPr>
          <w:rFonts w:ascii="Times New Roman" w:eastAsia="Times New Roman" w:hAnsi="Times New Roman" w:cs="Times New Roman"/>
          <w:color w:val="000000"/>
          <w:lang w:val="id-ID"/>
        </w:rPr>
        <w:fldChar w:fldCharType="begin" w:fldLock="1"/>
      </w:r>
      <w:r w:rsidR="00F85700" w:rsidRPr="00BE6EE7">
        <w:rPr>
          <w:rFonts w:ascii="Times New Roman" w:eastAsia="Times New Roman" w:hAnsi="Times New Roman" w:cs="Times New Roman"/>
          <w:color w:val="000000"/>
          <w:lang w:val="id-ID"/>
        </w:rPr>
        <w:instrText>ADDIN CSL_CITATION {"citationItems":[{"id":"ITEM-1","itemData":{"author":[{"dropping-particle":"","family":"Zainuddin","given":"Ahmad","non-dropping-particle":"","parse-names":false,"suffix":""},{"dropping-particle":"","family":"Magfiroh","given":"Illia Seldon","non-dropping-particle":"","parse-names":false,"suffix":""},{"dropping-particle":"","family":"Setyawati","given":"Intan Kartika","non-dropping-particle":"","parse-names":false,"suffix":""},{"dropping-particle":"","family":"Rahman","given":"Rena Yunita","non-dropping-particle":"","parse-names":false,"suffix":""}],"container-title":"IPB Press","id":"ITEM-1","issued":{"date-parts":[["2018"]]},"title":"Agribisnis Tembakau, Membuka Ruang Inovasi dan Bisnis untuk Kemajuan Industri","type":"chapter"},"uris":["http://www.mendeley.com/documents/?uuid=491eb04e-b92e-4ae2-958d-83112fe0f1e6"]}],"mendeley":{"formattedCitation":"(Zainuddin et al., 2018)","manualFormatting":"Zainuddin et al. (2018)","plainTextFormattedCitation":"(Zainuddin et al., 2018)","previouslyFormattedCitation":"(Zainuddin et al., 2018)"},"properties":{"noteIndex":0},"schema":"https://github.com/citation-style-language/schema/raw/master/csl-citation.json"}</w:instrText>
      </w:r>
      <w:r w:rsidR="00F85700" w:rsidRPr="00BE6EE7">
        <w:rPr>
          <w:rFonts w:ascii="Times New Roman" w:eastAsia="Times New Roman" w:hAnsi="Times New Roman" w:cs="Times New Roman"/>
          <w:color w:val="000000"/>
          <w:lang w:val="id-ID"/>
        </w:rPr>
        <w:fldChar w:fldCharType="separate"/>
      </w:r>
      <w:r w:rsidR="00F85700" w:rsidRPr="00BE6EE7">
        <w:rPr>
          <w:rFonts w:ascii="Times New Roman" w:eastAsia="Times New Roman" w:hAnsi="Times New Roman" w:cs="Times New Roman"/>
          <w:noProof/>
          <w:color w:val="000000"/>
          <w:lang w:val="id-ID"/>
        </w:rPr>
        <w:t xml:space="preserve">Zainuddin </w:t>
      </w:r>
      <w:r w:rsidR="00F85700" w:rsidRPr="00BE6EE7">
        <w:rPr>
          <w:rFonts w:ascii="Times New Roman" w:eastAsia="Times New Roman" w:hAnsi="Times New Roman" w:cs="Times New Roman"/>
          <w:i/>
          <w:noProof/>
          <w:color w:val="000000"/>
          <w:lang w:val="id-ID"/>
        </w:rPr>
        <w:t>et al</w:t>
      </w:r>
      <w:r w:rsidR="00F85700" w:rsidRPr="00BE6EE7">
        <w:rPr>
          <w:rFonts w:ascii="Times New Roman" w:eastAsia="Times New Roman" w:hAnsi="Times New Roman" w:cs="Times New Roman"/>
          <w:noProof/>
          <w:color w:val="000000"/>
          <w:lang w:val="id-ID"/>
        </w:rPr>
        <w:t>. (2018)</w:t>
      </w:r>
      <w:r w:rsidR="00F85700" w:rsidRPr="00BE6EE7">
        <w:rPr>
          <w:rFonts w:ascii="Times New Roman" w:eastAsia="Times New Roman" w:hAnsi="Times New Roman" w:cs="Times New Roman"/>
          <w:color w:val="000000"/>
          <w:lang w:val="id-ID"/>
        </w:rPr>
        <w:fldChar w:fldCharType="end"/>
      </w:r>
      <w:r w:rsidR="00F85700" w:rsidRPr="00BE6EE7">
        <w:rPr>
          <w:rFonts w:ascii="Times New Roman" w:eastAsia="Times New Roman" w:hAnsi="Times New Roman" w:cs="Times New Roman"/>
          <w:color w:val="000000"/>
        </w:rPr>
        <w:t>, menunjukkan bahwa negara Belgia, Jerman, Belanda, Amerika Serikat, Republik Dominika, dan Sri Lanka sebelum adanya pandemi Covid-19 merupakan negara tujuan ekspor tembakau yang sangat potensial. Adanya Covid-19 menyebabkan di beberapa negara tujuan ekspor mengalami penurunan yang signifikan, meskipun daya saing ekspor komoditas tembakau di negara tersebut masih tinggi.</w:t>
      </w:r>
    </w:p>
    <w:p w:rsidR="0043706E" w:rsidRPr="00BE6EE7" w:rsidRDefault="00F85700" w:rsidP="00CB146D">
      <w:pPr>
        <w:spacing w:after="0" w:line="240" w:lineRule="auto"/>
        <w:ind w:firstLine="567"/>
        <w:jc w:val="both"/>
        <w:rPr>
          <w:rFonts w:ascii="Times New Roman" w:eastAsia="Times New Roman" w:hAnsi="Times New Roman" w:cs="Times New Roman"/>
          <w:i/>
          <w:color w:val="000000"/>
          <w:lang w:val="id-ID"/>
        </w:rPr>
      </w:pPr>
      <w:r w:rsidRPr="00BE6EE7">
        <w:rPr>
          <w:rFonts w:ascii="Times New Roman" w:eastAsia="Times New Roman" w:hAnsi="Times New Roman" w:cs="Times New Roman"/>
          <w:color w:val="000000"/>
        </w:rPr>
        <w:t>Penurunan daya saing ekspor</w:t>
      </w:r>
      <w:r w:rsidR="00FE2C4A">
        <w:rPr>
          <w:rFonts w:ascii="Times New Roman" w:eastAsia="Times New Roman" w:hAnsi="Times New Roman" w:cs="Times New Roman"/>
          <w:color w:val="000000"/>
          <w:lang w:val="id-ID"/>
        </w:rPr>
        <w:t xml:space="preserve"> komoditas</w:t>
      </w:r>
      <w:r w:rsidRPr="00BE6EE7">
        <w:rPr>
          <w:rFonts w:ascii="Times New Roman" w:eastAsia="Times New Roman" w:hAnsi="Times New Roman" w:cs="Times New Roman"/>
          <w:color w:val="000000"/>
        </w:rPr>
        <w:t xml:space="preserve"> </w:t>
      </w:r>
      <w:r w:rsidR="009E15CD" w:rsidRPr="00BE6EE7">
        <w:rPr>
          <w:rFonts w:ascii="Times New Roman" w:eastAsia="Times New Roman" w:hAnsi="Times New Roman" w:cs="Times New Roman"/>
          <w:color w:val="000000"/>
        </w:rPr>
        <w:t>tembakau</w:t>
      </w:r>
      <w:r w:rsidRPr="00BE6EE7">
        <w:rPr>
          <w:rFonts w:ascii="Times New Roman" w:eastAsia="Times New Roman" w:hAnsi="Times New Roman" w:cs="Times New Roman"/>
          <w:color w:val="000000"/>
        </w:rPr>
        <w:t xml:space="preserve"> dapat disebabkan oleh kesadaran masyarakat terhadap dampak mengonsumsi rokok, terutama pada masa Covid-19</w:t>
      </w:r>
      <w:r w:rsidRPr="00BE6EE7">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lang w:val="id-ID"/>
        </w:rPr>
        <w:fldChar w:fldCharType="begin" w:fldLock="1"/>
      </w:r>
      <w:r w:rsidRPr="00BE6EE7">
        <w:rPr>
          <w:rFonts w:ascii="Times New Roman" w:eastAsia="Times New Roman" w:hAnsi="Times New Roman" w:cs="Times New Roman"/>
          <w:color w:val="000000"/>
          <w:lang w:val="id-ID"/>
        </w:rPr>
        <w:instrText>ADDIN CSL_CITATION {"citationItems":[{"id":"ITEM-1","itemData":{"ISBN":"9786245896004","author":[{"dropping-particle":"","family":"Senaratne","given":"Ranjith","non-dropping-particle":"","parse-names":false,"suffix":""},{"dropping-particle":"","family":"Amaratunga","given":"Dilanthi","non-dropping-particle":"","parse-names":false,"suffix":""},{"dropping-particle":"","family":"Mendis","given":"Shanthi","non-dropping-particle":"","parse-names":false,"suffix":""},{"dropping-particle":"","family":"Athukorala","given":"Prema Chandra","non-dropping-particle":"","parse-names":false,"suffix":""}],"id":"ITEM-1","issued":{"date-parts":[["2021"]]},"number-of-pages":"536-539","title":"COVID 19: Impact, Mitigation, Opportunities and Building Resilience","type":"report","volume":"01"},"uris":["http://www.mendeley.com/documents/?uuid=767d7e24-04ff-4576-a30d-6c0408dbfffb"]}],"mendeley":{"formattedCitation":"(Senaratne et al., 2021)","plainTextFormattedCitation":"(Senaratne et al., 2021)","previouslyFormattedCitation":"(Senaratne et al., 2021)"},"properties":{"noteIndex":0},"schema":"https://github.com/citation-style-language/schema/raw/master/csl-citation.json"}</w:instrText>
      </w:r>
      <w:r w:rsidRPr="00BE6EE7">
        <w:rPr>
          <w:rFonts w:ascii="Times New Roman" w:eastAsia="Times New Roman" w:hAnsi="Times New Roman" w:cs="Times New Roman"/>
          <w:color w:val="000000"/>
          <w:lang w:val="id-ID"/>
        </w:rPr>
        <w:fldChar w:fldCharType="separate"/>
      </w:r>
      <w:r w:rsidRPr="00BE6EE7">
        <w:rPr>
          <w:rFonts w:ascii="Times New Roman" w:eastAsia="Times New Roman" w:hAnsi="Times New Roman" w:cs="Times New Roman"/>
          <w:noProof/>
          <w:color w:val="000000"/>
          <w:lang w:val="id-ID"/>
        </w:rPr>
        <w:t xml:space="preserve">(Senaratne </w:t>
      </w:r>
      <w:r w:rsidRPr="00BE6EE7">
        <w:rPr>
          <w:rFonts w:ascii="Times New Roman" w:eastAsia="Times New Roman" w:hAnsi="Times New Roman" w:cs="Times New Roman"/>
          <w:i/>
          <w:noProof/>
          <w:color w:val="000000"/>
          <w:lang w:val="id-ID"/>
        </w:rPr>
        <w:t>et</w:t>
      </w:r>
      <w:r w:rsidRPr="00BE6EE7">
        <w:rPr>
          <w:rFonts w:ascii="Times New Roman" w:eastAsia="Times New Roman" w:hAnsi="Times New Roman" w:cs="Times New Roman"/>
          <w:noProof/>
          <w:color w:val="000000"/>
          <w:lang w:val="id-ID"/>
        </w:rPr>
        <w:t xml:space="preserve"> </w:t>
      </w:r>
      <w:r w:rsidRPr="00BE6EE7">
        <w:rPr>
          <w:rFonts w:ascii="Times New Roman" w:eastAsia="Times New Roman" w:hAnsi="Times New Roman" w:cs="Times New Roman"/>
          <w:i/>
          <w:noProof/>
          <w:color w:val="000000"/>
          <w:lang w:val="id-ID"/>
        </w:rPr>
        <w:t>al</w:t>
      </w:r>
      <w:r w:rsidRPr="00BE6EE7">
        <w:rPr>
          <w:rFonts w:ascii="Times New Roman" w:eastAsia="Times New Roman" w:hAnsi="Times New Roman" w:cs="Times New Roman"/>
          <w:noProof/>
          <w:color w:val="000000"/>
          <w:lang w:val="id-ID"/>
        </w:rPr>
        <w:t>., 2021)</w:t>
      </w:r>
      <w:r w:rsidRPr="00BE6EE7">
        <w:rPr>
          <w:rFonts w:ascii="Times New Roman" w:eastAsia="Times New Roman" w:hAnsi="Times New Roman" w:cs="Times New Roman"/>
          <w:color w:val="000000"/>
          <w:lang w:val="id-ID"/>
        </w:rPr>
        <w:fldChar w:fldCharType="end"/>
      </w:r>
      <w:r w:rsidRPr="00BE6EE7">
        <w:rPr>
          <w:rFonts w:ascii="Times New Roman" w:eastAsia="Times New Roman" w:hAnsi="Times New Roman" w:cs="Times New Roman"/>
          <w:color w:val="000000"/>
        </w:rPr>
        <w:t>. Menurut</w:t>
      </w:r>
      <w:r w:rsidRPr="00BE6EE7">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lang w:val="id-ID"/>
        </w:rPr>
        <w:fldChar w:fldCharType="begin" w:fldLock="1"/>
      </w:r>
      <w:r w:rsidRPr="00BE6EE7">
        <w:rPr>
          <w:rFonts w:ascii="Times New Roman" w:eastAsia="Times New Roman" w:hAnsi="Times New Roman" w:cs="Times New Roman"/>
          <w:color w:val="000000"/>
          <w:lang w:val="id-ID"/>
        </w:rPr>
        <w:instrText>ADDIN CSL_CITATION {"citationItems":[{"id":"ITEM-1","itemData":{"DOI":"10.3390/ijerph18041779","ISSN":"16604601","PMID":"33673087","abstract":"The present study explored the changes in tobacco use patterns during the COVID-19 pandemic and their correlates among older adults in Bangladesh. This cross-sectional study was conducted among 1032 older adults aged ≥60 years in Bangladesh through telephone interviews in October 2020. Participants’ characteristics and COVID-19-related information were gathered using a pretested semi-structured questionnaire. Participants were asked if they noted any change in their tobacco use patterns (smoking or smokeless tobacco) during the COVID-19 pandemic compared to pre-pandemic (6 months prior to the survey). Nearly half of the participants (45.6%) were current tobacco users, of whom 15.9% reported increased tobacco use during the COVID-19 pandemic and all others had no change in their tobacco use patterns. Tobacco use was significantly increased among the participants from rural areas, who had reduced communications during COVID-19 compared to pre-pandemic (OR = 2.76, 95%CI:1.51–5.03). Participants who were aged ≥70 years (OR = 0.33, 95% CI: 0.14–0.77), widowed (OR = 0.36, 95% CI: 0.13–1.00), had pre-existing, non-communi-cable, and/or chronic conditions (OR = 0.44, 95% CI:0.25–0.78), and felt themselves at the highest risk of COVID-19 (OR = 0.31, 95% CI: 0.15–0.62), had significantly lower odds of increased tobacco use. Policy makers and practitioners need to focus on strengthening awareness and raising initia-tives to avoid tobacco use during such a crisis period.","author":[{"dropping-particle":"","family":"Mistry","given":"Sabuj Kanti","non-dropping-particle":"","parse-names":false,"suffix":""},{"dropping-particle":"","family":"Ali","given":"A. R.M.Mehrab","non-dropping-particle":"","parse-names":false,"suffix":""},{"dropping-particle":"","family":"Rahman","given":"Md Ashfikur","non-dropping-particle":"","parse-names":false,"suffix":""},{"dropping-particle":"","family":"Yadav","given":"Uday Narayan","non-dropping-particle":"","parse-names":false,"suffix":""},{"dropping-particle":"","family":"Gupta","given":"Bhawna","non-dropping-particle":"","parse-names":false,"suffix":""},{"dropping-particle":"","family":"Rahman","given":"Muhammad Aziz","non-dropping-particle":"","parse-names":false,"suffix":""},{"dropping-particle":"","family":"Huque","given":"Rumana","non-dropping-particle":"","parse-names":false,"suffix":""}],"container-title":"International Journal of Environmental Research and Public Health","id":"ITEM-1","issue":"4","issued":{"date-parts":[["2021"]]},"page":"1-10","title":"Changes in Tobacco Use Patterns during COVID-19 and Their Correlates among Older Adults in Bangladesh","type":"article-journal","volume":"18"},"uris":["http://www.mendeley.com/documents/?uuid=9d5c4c8a-a8e8-4a9e-a1ef-1fcf24ce24ef"]}],"mendeley":{"formattedCitation":"(Mistry et al., 2021)","manualFormatting":"Mistry et al. (2021)","plainTextFormattedCitation":"(Mistry et al., 2021)","previouslyFormattedCitation":"(Mistry et al., 2021)"},"properties":{"noteIndex":0},"schema":"https://github.com/citation-style-language/schema/raw/master/csl-citation.json"}</w:instrText>
      </w:r>
      <w:r w:rsidRPr="00BE6EE7">
        <w:rPr>
          <w:rFonts w:ascii="Times New Roman" w:eastAsia="Times New Roman" w:hAnsi="Times New Roman" w:cs="Times New Roman"/>
          <w:color w:val="000000"/>
          <w:lang w:val="id-ID"/>
        </w:rPr>
        <w:fldChar w:fldCharType="separate"/>
      </w:r>
      <w:r w:rsidRPr="00BE6EE7">
        <w:rPr>
          <w:rFonts w:ascii="Times New Roman" w:eastAsia="Times New Roman" w:hAnsi="Times New Roman" w:cs="Times New Roman"/>
          <w:noProof/>
          <w:color w:val="000000"/>
          <w:lang w:val="id-ID"/>
        </w:rPr>
        <w:t xml:space="preserve">Mistry </w:t>
      </w:r>
      <w:r w:rsidRPr="00BE6EE7">
        <w:rPr>
          <w:rFonts w:ascii="Times New Roman" w:eastAsia="Times New Roman" w:hAnsi="Times New Roman" w:cs="Times New Roman"/>
          <w:i/>
          <w:noProof/>
          <w:color w:val="000000"/>
          <w:lang w:val="id-ID"/>
        </w:rPr>
        <w:t>et al.</w:t>
      </w:r>
      <w:r w:rsidRPr="00BE6EE7">
        <w:rPr>
          <w:rFonts w:ascii="Times New Roman" w:eastAsia="Times New Roman" w:hAnsi="Times New Roman" w:cs="Times New Roman"/>
          <w:noProof/>
          <w:color w:val="000000"/>
          <w:lang w:val="id-ID"/>
        </w:rPr>
        <w:t xml:space="preserve"> (2021)</w:t>
      </w:r>
      <w:r w:rsidRPr="00BE6EE7">
        <w:rPr>
          <w:rFonts w:ascii="Times New Roman" w:eastAsia="Times New Roman" w:hAnsi="Times New Roman" w:cs="Times New Roman"/>
          <w:color w:val="000000"/>
          <w:lang w:val="id-ID"/>
        </w:rPr>
        <w:fldChar w:fldCharType="end"/>
      </w:r>
      <w:r w:rsidRPr="00BE6EE7">
        <w:rPr>
          <w:rFonts w:ascii="Times New Roman" w:eastAsia="Times New Roman" w:hAnsi="Times New Roman" w:cs="Times New Roman"/>
          <w:color w:val="000000"/>
          <w:lang w:val="id-ID"/>
        </w:rPr>
        <w:t>,</w:t>
      </w:r>
      <w:r w:rsidRPr="00BE6EE7">
        <w:rPr>
          <w:rFonts w:ascii="Times New Roman" w:eastAsia="Times New Roman" w:hAnsi="Times New Roman" w:cs="Times New Roman"/>
          <w:color w:val="000000"/>
        </w:rPr>
        <w:t xml:space="preserve"> peningkatan daya saing ekspor tembakau di sebagian negara tujuan utama pada saat pandemi disebabkan mayoritas masyarakat merasa stres terhadap penerapan kebijakan </w:t>
      </w:r>
      <w:r w:rsidRPr="00BE6EE7">
        <w:rPr>
          <w:rFonts w:ascii="Times New Roman" w:eastAsia="Times New Roman" w:hAnsi="Times New Roman" w:cs="Times New Roman"/>
          <w:i/>
          <w:color w:val="000000"/>
        </w:rPr>
        <w:t>lockdown</w:t>
      </w:r>
      <w:r w:rsidRPr="00BE6EE7">
        <w:rPr>
          <w:rFonts w:ascii="Times New Roman" w:eastAsia="Times New Roman" w:hAnsi="Times New Roman" w:cs="Times New Roman"/>
          <w:color w:val="000000"/>
        </w:rPr>
        <w:t xml:space="preserve">. Ketakutan terhadap penularan Covid-19, ketidakpastian pekerjaan, dan pengaruh psikologis lainnya. Kondisi ini menyebabkan masyarakat memutuskan untuk mengonsumsi rokok sebagai bentuk rekreasi. </w:t>
      </w:r>
      <w:r w:rsidR="009E15CD" w:rsidRPr="00BE6EE7">
        <w:rPr>
          <w:rFonts w:ascii="Times New Roman" w:eastAsia="Times New Roman" w:hAnsi="Times New Roman" w:cs="Times New Roman"/>
          <w:color w:val="000000"/>
          <w:lang w:val="id-ID"/>
        </w:rPr>
        <w:t>Hal</w:t>
      </w:r>
      <w:r w:rsidRPr="00BE6EE7">
        <w:rPr>
          <w:rFonts w:ascii="Times New Roman" w:eastAsia="Times New Roman" w:hAnsi="Times New Roman" w:cs="Times New Roman"/>
          <w:color w:val="000000"/>
        </w:rPr>
        <w:t xml:space="preserve"> juga didukung oleh penelitian </w:t>
      </w:r>
      <w:r w:rsidRPr="00BE6EE7">
        <w:rPr>
          <w:rFonts w:ascii="Times New Roman" w:eastAsia="Times New Roman" w:hAnsi="Times New Roman" w:cs="Times New Roman"/>
          <w:color w:val="000000"/>
          <w:lang w:val="id-ID"/>
        </w:rPr>
        <w:fldChar w:fldCharType="begin" w:fldLock="1"/>
      </w:r>
      <w:r w:rsidRPr="00BE6EE7">
        <w:rPr>
          <w:rFonts w:ascii="Times New Roman" w:eastAsia="Times New Roman" w:hAnsi="Times New Roman" w:cs="Times New Roman"/>
          <w:color w:val="000000"/>
          <w:lang w:val="id-ID"/>
        </w:rPr>
        <w:instrText>ADDIN CSL_CITATION {"citationItems":[{"id":"ITEM-1","itemData":{"DOI":"10.1093/ntr/ntaa257","ISSN":"1469994X","PMID":"33515223","abstract":"Introduction: New Zealand's response to the COVID-19 pandemic was one of the most restrictive lockdowns of any country, inevitably causing stress for many people. Because situations that increase stress and anxiety are associated with higher smoking prevalence, we examined self-reported smoking before and during the lockdown, and analyzed factors associated with reported changes in cigarette consumption. Aims and Methods: We conducted an online panel survey of a demographically representative sample of 2010 adult New Zealanders during the COVID-19 lockdown; the final, weighted sample included 261 daily smokers and 71 weekly smokers. We measured psychological distress and anxiety, as well as situational factors, tobacco consumption, and demographic attributes. Results: Nearly half of daily smokers reported smoking more during than before the lockdown, on average, an increase of six cigarettes a day; increased daily cigarette consumption was associated with loneliness and isolation. Most weekly smokers reported either that their smoking during the lockdown had not changed or had slightly reduced. Conclusions: Smoking cessation services need to anticipate that unexpected disruptions, such as pandemic lockdowns, may be associated with increased daily tobacco consumption, and that this increase may be sustained after lockdown. While public health responses to pandemics predictably focus on immediate and obvious consequences, interventions to support recent quitters and those making quit attempts should also form a key component of pandemic planning. Implications: As governments introduce unprecedented measures to manage COVID-19, they need also to consider other public health risks, such as increased smoking among current smokers or relapse among recent quitters. Evidence that loneliness was associated with increased smoking during a lockdown suggests a need for cessation out-reach strategies that promote and support smoke-free practices.","author":[{"dropping-particle":"","family":"Gendall","given":"Philip","non-dropping-particle":"","parse-names":false,"suffix":""},{"dropping-particle":"","family":"Hoek","given":"Janet","non-dropping-particle":"","parse-names":false,"suffix":""},{"dropping-particle":"","family":"Stanley","given":"James","non-dropping-particle":"","parse-names":false,"suffix":""},{"dropping-particle":"","family":"Jenkins","given":"Mathew","non-dropping-particle":"","parse-names":false,"suffix":""},{"dropping-particle":"","family":"Every-Palmer","given":"Susanna","non-dropping-particle":"","parse-names":false,"suffix":""}],"container-title":"Nicotine and Tobacco Research","id":"ITEM-1","issue":"5","issued":{"date-parts":[["2021"]]},"page":"866-871","title":"Changes in Tobacco Use during the 2020 COVID-19 Lockdown in New Zealand","type":"article-journal","volume":"23"},"uris":["http://www.mendeley.com/documents/?uuid=7d3dd06d-293b-4c1a-9765-a2bd87718f98"]}],"mendeley":{"formattedCitation":"(Gendall, Hoek, Stanley, Jenkins, &amp; Every-Palmer, 2021)","manualFormatting":"Gendall et al.  (2021)","plainTextFormattedCitation":"(Gendall, Hoek, Stanley, Jenkins, &amp; Every-Palmer, 2021)","previouslyFormattedCitation":"(Gendall, Hoek, Stanley, Jenkins, &amp; Every-Palmer, 2021)"},"properties":{"noteIndex":0},"schema":"https://github.com/citation-style-language/schema/raw/master/csl-citation.json"}</w:instrText>
      </w:r>
      <w:r w:rsidRPr="00BE6EE7">
        <w:rPr>
          <w:rFonts w:ascii="Times New Roman" w:eastAsia="Times New Roman" w:hAnsi="Times New Roman" w:cs="Times New Roman"/>
          <w:color w:val="000000"/>
          <w:lang w:val="id-ID"/>
        </w:rPr>
        <w:fldChar w:fldCharType="separate"/>
      </w:r>
      <w:r w:rsidRPr="00BE6EE7">
        <w:rPr>
          <w:rFonts w:ascii="Times New Roman" w:eastAsia="Times New Roman" w:hAnsi="Times New Roman" w:cs="Times New Roman"/>
          <w:noProof/>
          <w:color w:val="000000"/>
          <w:lang w:val="id-ID"/>
        </w:rPr>
        <w:t xml:space="preserve">Gendall </w:t>
      </w:r>
      <w:r w:rsidRPr="00BE6EE7">
        <w:rPr>
          <w:rFonts w:ascii="Times New Roman" w:eastAsia="Times New Roman" w:hAnsi="Times New Roman" w:cs="Times New Roman"/>
          <w:i/>
          <w:noProof/>
          <w:color w:val="000000"/>
          <w:lang w:val="id-ID"/>
        </w:rPr>
        <w:t xml:space="preserve">et al. </w:t>
      </w:r>
      <w:r w:rsidRPr="00BE6EE7">
        <w:rPr>
          <w:rFonts w:ascii="Times New Roman" w:eastAsia="Times New Roman" w:hAnsi="Times New Roman" w:cs="Times New Roman"/>
          <w:noProof/>
          <w:color w:val="000000"/>
          <w:lang w:val="id-ID"/>
        </w:rPr>
        <w:t xml:space="preserve"> (2021)</w:t>
      </w:r>
      <w:r w:rsidRPr="00BE6EE7">
        <w:rPr>
          <w:rFonts w:ascii="Times New Roman" w:eastAsia="Times New Roman" w:hAnsi="Times New Roman" w:cs="Times New Roman"/>
          <w:color w:val="000000"/>
          <w:lang w:val="id-ID"/>
        </w:rPr>
        <w:fldChar w:fldCharType="end"/>
      </w:r>
      <w:r w:rsidRPr="00BE6EE7">
        <w:rPr>
          <w:rFonts w:ascii="Times New Roman" w:eastAsia="Times New Roman" w:hAnsi="Times New Roman" w:cs="Times New Roman"/>
          <w:color w:val="000000"/>
        </w:rPr>
        <w:t xml:space="preserve">, di mana hampir setengah </w:t>
      </w:r>
      <w:r w:rsidRPr="00BE6EE7">
        <w:rPr>
          <w:rFonts w:ascii="Times New Roman" w:eastAsia="Times New Roman" w:hAnsi="Times New Roman" w:cs="Times New Roman"/>
          <w:color w:val="000000"/>
        </w:rPr>
        <w:lastRenderedPageBreak/>
        <w:t>dari responden penelitiannya meningkatkan konsumsi rokok mereka dengan rata-rata 6</w:t>
      </w:r>
      <w:r w:rsidR="00FE2C4A">
        <w:rPr>
          <w:rFonts w:ascii="Times New Roman" w:eastAsia="Times New Roman" w:hAnsi="Times New Roman" w:cs="Times New Roman"/>
          <w:color w:val="000000"/>
          <w:lang w:val="id-ID"/>
        </w:rPr>
        <w:t xml:space="preserve"> (enam)</w:t>
      </w:r>
      <w:r w:rsidRPr="00BE6EE7">
        <w:rPr>
          <w:rFonts w:ascii="Times New Roman" w:eastAsia="Times New Roman" w:hAnsi="Times New Roman" w:cs="Times New Roman"/>
          <w:color w:val="000000"/>
        </w:rPr>
        <w:t xml:space="preserve"> batang dalam sehari yang disebabkan oleh rasa kesepian dan keterasingan selama menjalani </w:t>
      </w:r>
      <w:r w:rsidRPr="00BE6EE7">
        <w:rPr>
          <w:rFonts w:ascii="Times New Roman" w:eastAsia="Times New Roman" w:hAnsi="Times New Roman" w:cs="Times New Roman"/>
          <w:i/>
          <w:color w:val="000000"/>
        </w:rPr>
        <w:t>lockdown</w:t>
      </w:r>
      <w:r w:rsidRPr="00BE6EE7">
        <w:rPr>
          <w:rFonts w:ascii="Times New Roman" w:eastAsia="Times New Roman" w:hAnsi="Times New Roman" w:cs="Times New Roman"/>
          <w:i/>
          <w:color w:val="000000"/>
          <w:lang w:val="id-ID"/>
        </w:rPr>
        <w:t>.</w:t>
      </w:r>
    </w:p>
    <w:p w:rsidR="00F85700" w:rsidRPr="00BE6EE7" w:rsidRDefault="00F85700" w:rsidP="00CB146D">
      <w:pPr>
        <w:spacing w:after="0" w:line="240" w:lineRule="auto"/>
        <w:ind w:firstLine="567"/>
        <w:jc w:val="both"/>
        <w:rPr>
          <w:rFonts w:ascii="Times New Roman" w:hAnsi="Times New Roman" w:cs="Times New Roman"/>
          <w:b/>
          <w:color w:val="000000"/>
          <w:lang w:val="id-ID"/>
        </w:rPr>
      </w:pPr>
    </w:p>
    <w:p w:rsidR="0043706E" w:rsidRPr="00BE6EE7" w:rsidRDefault="0043706E" w:rsidP="00CB146D">
      <w:pPr>
        <w:spacing w:after="0" w:line="240" w:lineRule="auto"/>
        <w:jc w:val="both"/>
        <w:rPr>
          <w:rFonts w:ascii="Times New Roman" w:hAnsi="Times New Roman" w:cs="Times New Roman"/>
          <w:b/>
          <w:color w:val="000000"/>
          <w:lang w:val="id-ID"/>
        </w:rPr>
      </w:pPr>
      <w:r w:rsidRPr="00BE6EE7">
        <w:rPr>
          <w:rFonts w:ascii="Times New Roman" w:hAnsi="Times New Roman" w:cs="Times New Roman"/>
          <w:b/>
          <w:i/>
          <w:color w:val="000000"/>
          <w:lang w:val="id-ID"/>
        </w:rPr>
        <w:t xml:space="preserve">Export Product </w:t>
      </w:r>
      <w:r w:rsidR="000567E1" w:rsidRPr="00BE6EE7">
        <w:rPr>
          <w:rFonts w:ascii="Times New Roman" w:hAnsi="Times New Roman" w:cs="Times New Roman"/>
          <w:b/>
          <w:i/>
          <w:color w:val="000000"/>
          <w:lang w:val="id-ID"/>
        </w:rPr>
        <w:t>Dynamic</w:t>
      </w:r>
      <w:r w:rsidRPr="00BE6EE7">
        <w:rPr>
          <w:rFonts w:ascii="Times New Roman" w:hAnsi="Times New Roman" w:cs="Times New Roman"/>
          <w:b/>
          <w:i/>
          <w:color w:val="000000"/>
          <w:lang w:val="id-ID"/>
        </w:rPr>
        <w:t xml:space="preserve"> </w:t>
      </w:r>
      <w:r w:rsidRPr="00BE6EE7">
        <w:rPr>
          <w:rFonts w:ascii="Times New Roman" w:hAnsi="Times New Roman" w:cs="Times New Roman"/>
          <w:b/>
          <w:color w:val="000000"/>
          <w:lang w:val="id-ID"/>
        </w:rPr>
        <w:t>(EPD)</w:t>
      </w:r>
    </w:p>
    <w:p w:rsidR="00F85700" w:rsidRPr="00BE6EE7" w:rsidRDefault="001E318C" w:rsidP="00CB146D">
      <w:pPr>
        <w:spacing w:after="0" w:line="240" w:lineRule="auto"/>
        <w:ind w:firstLine="567"/>
        <w:jc w:val="both"/>
        <w:rPr>
          <w:rFonts w:ascii="Times New Roman" w:eastAsia="Times New Roman" w:hAnsi="Times New Roman" w:cs="Times New Roman"/>
          <w:color w:val="000000"/>
        </w:rPr>
      </w:pPr>
      <w:r w:rsidRPr="00BE6EE7">
        <w:rPr>
          <w:rFonts w:ascii="Times New Roman" w:eastAsia="Times New Roman" w:hAnsi="Times New Roman" w:cs="Times New Roman"/>
          <w:color w:val="000000"/>
          <w:lang w:val="id-ID"/>
        </w:rPr>
        <w:t xml:space="preserve">Kegiatan ekspor, terutama tembakau, selalu mengalami fluktuasi yang </w:t>
      </w:r>
      <w:r w:rsidR="002D28BF" w:rsidRPr="00BE6EE7">
        <w:rPr>
          <w:rFonts w:ascii="Times New Roman" w:eastAsia="Times New Roman" w:hAnsi="Times New Roman" w:cs="Times New Roman"/>
          <w:color w:val="000000"/>
          <w:lang w:val="id-ID"/>
        </w:rPr>
        <w:t>disebabkan oleh berbagai faktor</w:t>
      </w:r>
      <w:r w:rsidRPr="00BE6EE7">
        <w:rPr>
          <w:rFonts w:ascii="Times New Roman" w:eastAsia="Times New Roman" w:hAnsi="Times New Roman" w:cs="Times New Roman"/>
          <w:color w:val="000000"/>
          <w:lang w:val="id-ID"/>
        </w:rPr>
        <w:t xml:space="preserve">. </w:t>
      </w:r>
      <w:r w:rsidRPr="00BE6EE7">
        <w:rPr>
          <w:rFonts w:ascii="Times New Roman" w:eastAsia="Times New Roman" w:hAnsi="Times New Roman" w:cs="Times New Roman"/>
          <w:color w:val="000000"/>
        </w:rPr>
        <w:t>Penilaian daya saing tembakau di negara tujuan utama dapat dilakukan dengan analisis EPD. Analisis EPD dilakukan untuk melihat kedinamisan komoditas tembakau di negara tujuan utama, sehingga dengan dengan demikian dapat digunakan untuk pertimbangan pengembangan tembakau.</w:t>
      </w:r>
    </w:p>
    <w:p w:rsidR="001E318C" w:rsidRPr="00412C0E" w:rsidRDefault="001E318C" w:rsidP="00CB146D">
      <w:pPr>
        <w:spacing w:after="0" w:line="240" w:lineRule="auto"/>
        <w:ind w:left="826" w:hanging="826"/>
        <w:jc w:val="both"/>
        <w:rPr>
          <w:rFonts w:ascii="Times New Roman" w:eastAsia="Times New Roman" w:hAnsi="Times New Roman" w:cs="Times New Roman"/>
          <w:color w:val="000000"/>
          <w:lang w:val="id-ID"/>
        </w:rPr>
      </w:pPr>
      <w:r w:rsidRPr="00BE6EE7">
        <w:rPr>
          <w:rFonts w:ascii="Times New Roman" w:eastAsia="Times New Roman" w:hAnsi="Times New Roman" w:cs="Times New Roman"/>
          <w:color w:val="000000"/>
        </w:rPr>
        <w:t>Tabel 4</w:t>
      </w:r>
      <w:r w:rsidR="005E3497">
        <w:rPr>
          <w:rFonts w:ascii="Times New Roman" w:eastAsia="Times New Roman" w:hAnsi="Times New Roman" w:cs="Times New Roman"/>
          <w:color w:val="000000"/>
          <w:lang w:val="id-ID"/>
        </w:rPr>
        <w:t>.</w:t>
      </w:r>
      <w:r w:rsidRPr="00BE6EE7">
        <w:rPr>
          <w:rFonts w:ascii="Times New Roman" w:eastAsia="Times New Roman" w:hAnsi="Times New Roman" w:cs="Times New Roman"/>
          <w:color w:val="000000"/>
        </w:rPr>
        <w:t xml:space="preserve"> Nilai EPD </w:t>
      </w:r>
      <w:r w:rsidR="00F97D35">
        <w:rPr>
          <w:rFonts w:ascii="Times New Roman" w:eastAsia="Times New Roman" w:hAnsi="Times New Roman" w:cs="Times New Roman"/>
          <w:color w:val="000000"/>
        </w:rPr>
        <w:t>komoditas tembakau</w:t>
      </w:r>
      <w:r w:rsidR="00F97D35">
        <w:rPr>
          <w:rFonts w:ascii="Times New Roman" w:eastAsia="Times New Roman" w:hAnsi="Times New Roman" w:cs="Times New Roman"/>
          <w:color w:val="000000"/>
          <w:lang w:val="id-ID"/>
        </w:rPr>
        <w:t xml:space="preserve"> </w:t>
      </w:r>
      <w:r w:rsidR="00F97D35">
        <w:rPr>
          <w:rFonts w:ascii="Times New Roman" w:eastAsia="Times New Roman" w:hAnsi="Times New Roman" w:cs="Times New Roman"/>
          <w:color w:val="000000"/>
        </w:rPr>
        <w:t>I</w:t>
      </w:r>
      <w:r w:rsidR="00F97D35" w:rsidRPr="00BE6EE7">
        <w:rPr>
          <w:rFonts w:ascii="Times New Roman" w:eastAsia="Times New Roman" w:hAnsi="Times New Roman" w:cs="Times New Roman"/>
          <w:color w:val="000000"/>
        </w:rPr>
        <w:t>ndonesia di negara tujuan utama</w:t>
      </w:r>
      <w:r w:rsidR="00F97D35">
        <w:rPr>
          <w:rFonts w:ascii="Times New Roman" w:eastAsia="Times New Roman" w:hAnsi="Times New Roman" w:cs="Times New Roman"/>
          <w:color w:val="000000"/>
          <w:lang w:val="id-ID"/>
        </w:rPr>
        <w:t xml:space="preserve"> </w:t>
      </w:r>
      <w:r w:rsidR="00F97D35" w:rsidRPr="00BE6EE7">
        <w:rPr>
          <w:rFonts w:ascii="Times New Roman" w:eastAsia="Times New Roman" w:hAnsi="Times New Roman" w:cs="Times New Roman"/>
          <w:color w:val="000000"/>
        </w:rPr>
        <w:t>tahun 2018 – 20</w:t>
      </w:r>
      <w:r w:rsidR="00412C0E">
        <w:rPr>
          <w:rFonts w:ascii="Times New Roman" w:eastAsia="Times New Roman" w:hAnsi="Times New Roman" w:cs="Times New Roman"/>
          <w:color w:val="000000"/>
          <w:lang w:val="id-ID"/>
        </w:rPr>
        <w:t>20</w:t>
      </w:r>
    </w:p>
    <w:tbl>
      <w:tblPr>
        <w:tblStyle w:val="TableGrid"/>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1701"/>
        <w:gridCol w:w="1560"/>
        <w:gridCol w:w="2409"/>
      </w:tblGrid>
      <w:tr w:rsidR="005E3497" w:rsidRPr="00BE6EE7" w:rsidTr="00D15064">
        <w:trPr>
          <w:trHeight w:val="248"/>
        </w:trPr>
        <w:tc>
          <w:tcPr>
            <w:tcW w:w="2268" w:type="dxa"/>
            <w:vMerge w:val="restart"/>
            <w:vAlign w:val="center"/>
            <w:hideMark/>
          </w:tcPr>
          <w:p w:rsidR="005E3497" w:rsidRPr="00FE2C4A" w:rsidRDefault="005E3497" w:rsidP="00CB146D">
            <w:pPr>
              <w:jc w:val="center"/>
              <w:rPr>
                <w:rFonts w:ascii="Times New Roman" w:eastAsia="Times New Roman" w:hAnsi="Times New Roman" w:cs="Times New Roman"/>
                <w:color w:val="000000"/>
                <w:sz w:val="20"/>
                <w:szCs w:val="20"/>
              </w:rPr>
            </w:pPr>
            <w:r w:rsidRPr="00FE2C4A">
              <w:rPr>
                <w:rFonts w:ascii="Times New Roman" w:eastAsia="Times New Roman" w:hAnsi="Times New Roman" w:cs="Times New Roman"/>
                <w:color w:val="000000"/>
                <w:sz w:val="20"/>
                <w:szCs w:val="20"/>
              </w:rPr>
              <w:t>Negara</w:t>
            </w:r>
          </w:p>
        </w:tc>
        <w:tc>
          <w:tcPr>
            <w:tcW w:w="5670" w:type="dxa"/>
            <w:gridSpan w:val="3"/>
            <w:vAlign w:val="center"/>
            <w:hideMark/>
          </w:tcPr>
          <w:p w:rsidR="005E3497" w:rsidRPr="00FE2C4A" w:rsidRDefault="005E3497" w:rsidP="00CB146D">
            <w:pPr>
              <w:jc w:val="center"/>
              <w:rPr>
                <w:rFonts w:ascii="Times New Roman" w:eastAsia="Times New Roman" w:hAnsi="Times New Roman" w:cs="Times New Roman"/>
                <w:color w:val="000000"/>
                <w:sz w:val="20"/>
                <w:szCs w:val="20"/>
              </w:rPr>
            </w:pPr>
            <w:r w:rsidRPr="00FE2C4A">
              <w:rPr>
                <w:rFonts w:ascii="Times New Roman" w:eastAsia="Times New Roman" w:hAnsi="Times New Roman" w:cs="Times New Roman"/>
                <w:color w:val="000000"/>
                <w:sz w:val="20"/>
                <w:szCs w:val="20"/>
              </w:rPr>
              <w:t>Sebelum Covid-19</w:t>
            </w:r>
          </w:p>
        </w:tc>
      </w:tr>
      <w:tr w:rsidR="005E3497" w:rsidRPr="00BE6EE7" w:rsidTr="00D15064">
        <w:trPr>
          <w:trHeight w:val="529"/>
        </w:trPr>
        <w:tc>
          <w:tcPr>
            <w:tcW w:w="2268" w:type="dxa"/>
            <w:vMerge/>
            <w:tcBorders>
              <w:bottom w:val="single" w:sz="4" w:space="0" w:color="auto"/>
            </w:tcBorders>
            <w:vAlign w:val="center"/>
          </w:tcPr>
          <w:p w:rsidR="005E3497" w:rsidRPr="00FE2C4A" w:rsidRDefault="005E3497" w:rsidP="00CB146D">
            <w:pPr>
              <w:rPr>
                <w:rFonts w:ascii="Times New Roman" w:eastAsia="Times New Roman" w:hAnsi="Times New Roman" w:cs="Times New Roman"/>
                <w:color w:val="000000"/>
                <w:sz w:val="20"/>
                <w:szCs w:val="20"/>
              </w:rPr>
            </w:pPr>
          </w:p>
        </w:tc>
        <w:tc>
          <w:tcPr>
            <w:tcW w:w="1701" w:type="dxa"/>
            <w:tcBorders>
              <w:bottom w:val="single" w:sz="4" w:space="0" w:color="auto"/>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Sumbu X</w:t>
            </w:r>
          </w:p>
        </w:tc>
        <w:tc>
          <w:tcPr>
            <w:tcW w:w="1560" w:type="dxa"/>
            <w:tcBorders>
              <w:bottom w:val="single" w:sz="4" w:space="0" w:color="auto"/>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Sumbu Y</w:t>
            </w:r>
          </w:p>
        </w:tc>
        <w:tc>
          <w:tcPr>
            <w:tcW w:w="2409" w:type="dxa"/>
            <w:tcBorders>
              <w:bottom w:val="single" w:sz="4" w:space="0" w:color="auto"/>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Indikator</w:t>
            </w:r>
          </w:p>
        </w:tc>
      </w:tr>
      <w:tr w:rsidR="005E3497" w:rsidRPr="00BE6EE7" w:rsidTr="00D15064">
        <w:trPr>
          <w:trHeight w:val="264"/>
        </w:trPr>
        <w:tc>
          <w:tcPr>
            <w:tcW w:w="2268" w:type="dxa"/>
            <w:tcBorders>
              <w:bottom w:val="nil"/>
            </w:tcBorders>
            <w:vAlign w:val="center"/>
            <w:hideMark/>
          </w:tcPr>
          <w:p w:rsidR="005E3497" w:rsidRPr="00FE2C4A" w:rsidRDefault="005E3497" w:rsidP="00CB146D">
            <w:pPr>
              <w:rPr>
                <w:rFonts w:ascii="Times New Roman" w:eastAsia="Times New Roman" w:hAnsi="Times New Roman" w:cs="Times New Roman"/>
                <w:color w:val="000000"/>
                <w:sz w:val="20"/>
                <w:szCs w:val="20"/>
              </w:rPr>
            </w:pPr>
            <w:r w:rsidRPr="00FE2C4A">
              <w:rPr>
                <w:rFonts w:ascii="Times New Roman" w:eastAsia="Times New Roman" w:hAnsi="Times New Roman" w:cs="Times New Roman"/>
                <w:color w:val="000000"/>
                <w:sz w:val="20"/>
                <w:szCs w:val="20"/>
              </w:rPr>
              <w:t>Belgia</w:t>
            </w:r>
          </w:p>
        </w:tc>
        <w:tc>
          <w:tcPr>
            <w:tcW w:w="1701" w:type="dxa"/>
            <w:tcBorders>
              <w:bottom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-1,858</w:t>
            </w:r>
          </w:p>
        </w:tc>
        <w:tc>
          <w:tcPr>
            <w:tcW w:w="1560" w:type="dxa"/>
            <w:tcBorders>
              <w:bottom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0,004</w:t>
            </w:r>
          </w:p>
        </w:tc>
        <w:tc>
          <w:tcPr>
            <w:tcW w:w="2409" w:type="dxa"/>
            <w:tcBorders>
              <w:bottom w:val="nil"/>
            </w:tcBorders>
            <w:vAlign w:val="center"/>
          </w:tcPr>
          <w:p w:rsidR="005E3497" w:rsidRPr="00FE2C4A" w:rsidRDefault="005E3497" w:rsidP="00CB146D">
            <w:pPr>
              <w:rPr>
                <w:rFonts w:ascii="Times New Roman" w:hAnsi="Times New Roman" w:cs="Times New Roman"/>
                <w:color w:val="000000"/>
                <w:sz w:val="20"/>
                <w:szCs w:val="20"/>
              </w:rPr>
            </w:pPr>
            <w:r w:rsidRPr="00FE2C4A">
              <w:rPr>
                <w:rFonts w:ascii="Times New Roman" w:hAnsi="Times New Roman" w:cs="Times New Roman"/>
                <w:color w:val="000000"/>
                <w:sz w:val="20"/>
                <w:szCs w:val="20"/>
              </w:rPr>
              <w:t>Lost Opportunity</w:t>
            </w:r>
          </w:p>
        </w:tc>
      </w:tr>
      <w:tr w:rsidR="005E3497" w:rsidRPr="00BE6EE7" w:rsidTr="00D15064">
        <w:trPr>
          <w:trHeight w:val="248"/>
        </w:trPr>
        <w:tc>
          <w:tcPr>
            <w:tcW w:w="2268" w:type="dxa"/>
            <w:tcBorders>
              <w:top w:val="nil"/>
              <w:bottom w:val="nil"/>
            </w:tcBorders>
            <w:vAlign w:val="center"/>
            <w:hideMark/>
          </w:tcPr>
          <w:p w:rsidR="005E3497" w:rsidRPr="00FE2C4A" w:rsidRDefault="005E3497" w:rsidP="00CB146D">
            <w:pPr>
              <w:rPr>
                <w:rFonts w:ascii="Times New Roman" w:eastAsia="Times New Roman" w:hAnsi="Times New Roman" w:cs="Times New Roman"/>
                <w:color w:val="000000"/>
                <w:sz w:val="20"/>
                <w:szCs w:val="20"/>
              </w:rPr>
            </w:pPr>
            <w:r w:rsidRPr="00FE2C4A">
              <w:rPr>
                <w:rFonts w:ascii="Times New Roman" w:eastAsia="Times New Roman" w:hAnsi="Times New Roman" w:cs="Times New Roman"/>
                <w:color w:val="000000"/>
                <w:sz w:val="20"/>
                <w:szCs w:val="20"/>
              </w:rPr>
              <w:t>Singapura</w:t>
            </w:r>
          </w:p>
        </w:tc>
        <w:tc>
          <w:tcPr>
            <w:tcW w:w="1701" w:type="dxa"/>
            <w:tcBorders>
              <w:top w:val="nil"/>
              <w:bottom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3,216</w:t>
            </w:r>
          </w:p>
        </w:tc>
        <w:tc>
          <w:tcPr>
            <w:tcW w:w="1560" w:type="dxa"/>
            <w:tcBorders>
              <w:top w:val="nil"/>
              <w:bottom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0,082</w:t>
            </w:r>
          </w:p>
        </w:tc>
        <w:tc>
          <w:tcPr>
            <w:tcW w:w="2409" w:type="dxa"/>
            <w:tcBorders>
              <w:top w:val="nil"/>
              <w:bottom w:val="nil"/>
            </w:tcBorders>
            <w:vAlign w:val="center"/>
          </w:tcPr>
          <w:p w:rsidR="005E3497" w:rsidRPr="00FE2C4A" w:rsidRDefault="005E3497" w:rsidP="00CB146D">
            <w:pPr>
              <w:rPr>
                <w:rFonts w:ascii="Times New Roman" w:hAnsi="Times New Roman" w:cs="Times New Roman"/>
                <w:color w:val="000000"/>
                <w:sz w:val="20"/>
                <w:szCs w:val="20"/>
              </w:rPr>
            </w:pPr>
            <w:r w:rsidRPr="00FE2C4A">
              <w:rPr>
                <w:rFonts w:ascii="Times New Roman" w:hAnsi="Times New Roman" w:cs="Times New Roman"/>
                <w:color w:val="000000"/>
                <w:sz w:val="20"/>
                <w:szCs w:val="20"/>
              </w:rPr>
              <w:t>Rising Star</w:t>
            </w:r>
          </w:p>
        </w:tc>
      </w:tr>
      <w:tr w:rsidR="005E3497" w:rsidRPr="00BE6EE7" w:rsidTr="00B44F42">
        <w:trPr>
          <w:trHeight w:val="171"/>
        </w:trPr>
        <w:tc>
          <w:tcPr>
            <w:tcW w:w="2268" w:type="dxa"/>
            <w:tcBorders>
              <w:top w:val="nil"/>
              <w:bottom w:val="nil"/>
            </w:tcBorders>
            <w:vAlign w:val="center"/>
            <w:hideMark/>
          </w:tcPr>
          <w:p w:rsidR="005E3497" w:rsidRPr="00FE2C4A" w:rsidRDefault="005E3497" w:rsidP="00CB146D">
            <w:pPr>
              <w:rPr>
                <w:rFonts w:ascii="Times New Roman" w:eastAsia="Times New Roman" w:hAnsi="Times New Roman" w:cs="Times New Roman"/>
                <w:color w:val="000000"/>
                <w:sz w:val="20"/>
                <w:szCs w:val="20"/>
              </w:rPr>
            </w:pPr>
            <w:r w:rsidRPr="00FE2C4A">
              <w:rPr>
                <w:rFonts w:ascii="Times New Roman" w:eastAsia="Times New Roman" w:hAnsi="Times New Roman" w:cs="Times New Roman"/>
                <w:color w:val="000000"/>
                <w:sz w:val="20"/>
                <w:szCs w:val="20"/>
              </w:rPr>
              <w:t>Republik Dominika</w:t>
            </w:r>
          </w:p>
        </w:tc>
        <w:tc>
          <w:tcPr>
            <w:tcW w:w="1701" w:type="dxa"/>
            <w:tcBorders>
              <w:top w:val="nil"/>
              <w:bottom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-1,399</w:t>
            </w:r>
          </w:p>
        </w:tc>
        <w:tc>
          <w:tcPr>
            <w:tcW w:w="1560" w:type="dxa"/>
            <w:tcBorders>
              <w:top w:val="nil"/>
              <w:bottom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-0,031</w:t>
            </w:r>
          </w:p>
        </w:tc>
        <w:tc>
          <w:tcPr>
            <w:tcW w:w="2409" w:type="dxa"/>
            <w:tcBorders>
              <w:top w:val="nil"/>
              <w:bottom w:val="nil"/>
            </w:tcBorders>
            <w:vAlign w:val="center"/>
          </w:tcPr>
          <w:p w:rsidR="005E3497" w:rsidRPr="00FE2C4A" w:rsidRDefault="005E3497" w:rsidP="00CB146D">
            <w:pPr>
              <w:rPr>
                <w:rFonts w:ascii="Times New Roman" w:hAnsi="Times New Roman" w:cs="Times New Roman"/>
                <w:color w:val="000000"/>
                <w:sz w:val="20"/>
                <w:szCs w:val="20"/>
              </w:rPr>
            </w:pPr>
            <w:r w:rsidRPr="00FE2C4A">
              <w:rPr>
                <w:rFonts w:ascii="Times New Roman" w:hAnsi="Times New Roman" w:cs="Times New Roman"/>
                <w:color w:val="000000"/>
                <w:sz w:val="20"/>
                <w:szCs w:val="20"/>
              </w:rPr>
              <w:t>Retreat</w:t>
            </w:r>
          </w:p>
        </w:tc>
      </w:tr>
      <w:tr w:rsidR="005E3497" w:rsidRPr="00BE6EE7" w:rsidTr="00D15064">
        <w:trPr>
          <w:trHeight w:val="248"/>
        </w:trPr>
        <w:tc>
          <w:tcPr>
            <w:tcW w:w="2268" w:type="dxa"/>
            <w:tcBorders>
              <w:top w:val="nil"/>
              <w:bottom w:val="nil"/>
            </w:tcBorders>
            <w:vAlign w:val="center"/>
            <w:hideMark/>
          </w:tcPr>
          <w:p w:rsidR="005E3497" w:rsidRPr="00FE2C4A" w:rsidRDefault="005E3497" w:rsidP="00CB146D">
            <w:pPr>
              <w:rPr>
                <w:rFonts w:ascii="Times New Roman" w:eastAsia="Times New Roman" w:hAnsi="Times New Roman" w:cs="Times New Roman"/>
                <w:color w:val="000000"/>
                <w:sz w:val="20"/>
                <w:szCs w:val="20"/>
              </w:rPr>
            </w:pPr>
            <w:r w:rsidRPr="00FE2C4A">
              <w:rPr>
                <w:rFonts w:ascii="Times New Roman" w:eastAsia="Times New Roman" w:hAnsi="Times New Roman" w:cs="Times New Roman"/>
                <w:color w:val="000000"/>
                <w:sz w:val="20"/>
                <w:szCs w:val="20"/>
              </w:rPr>
              <w:t>Sri Lanka</w:t>
            </w:r>
          </w:p>
        </w:tc>
        <w:tc>
          <w:tcPr>
            <w:tcW w:w="1701" w:type="dxa"/>
            <w:tcBorders>
              <w:top w:val="nil"/>
              <w:bottom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0,727</w:t>
            </w:r>
          </w:p>
        </w:tc>
        <w:tc>
          <w:tcPr>
            <w:tcW w:w="1560" w:type="dxa"/>
            <w:tcBorders>
              <w:top w:val="nil"/>
              <w:bottom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0,039</w:t>
            </w:r>
          </w:p>
        </w:tc>
        <w:tc>
          <w:tcPr>
            <w:tcW w:w="2409" w:type="dxa"/>
            <w:tcBorders>
              <w:top w:val="nil"/>
              <w:bottom w:val="nil"/>
            </w:tcBorders>
            <w:vAlign w:val="center"/>
          </w:tcPr>
          <w:p w:rsidR="005E3497" w:rsidRPr="00FE2C4A" w:rsidRDefault="005E3497" w:rsidP="00CB146D">
            <w:pPr>
              <w:rPr>
                <w:rFonts w:ascii="Times New Roman" w:hAnsi="Times New Roman" w:cs="Times New Roman"/>
                <w:color w:val="000000"/>
                <w:sz w:val="20"/>
                <w:szCs w:val="20"/>
              </w:rPr>
            </w:pPr>
            <w:r w:rsidRPr="00FE2C4A">
              <w:rPr>
                <w:rFonts w:ascii="Times New Roman" w:hAnsi="Times New Roman" w:cs="Times New Roman"/>
                <w:color w:val="000000"/>
                <w:sz w:val="20"/>
                <w:szCs w:val="20"/>
              </w:rPr>
              <w:t>Rising Star</w:t>
            </w:r>
          </w:p>
        </w:tc>
      </w:tr>
      <w:tr w:rsidR="005E3497" w:rsidRPr="00BE6EE7" w:rsidTr="00D15064">
        <w:trPr>
          <w:trHeight w:val="264"/>
        </w:trPr>
        <w:tc>
          <w:tcPr>
            <w:tcW w:w="2268" w:type="dxa"/>
            <w:tcBorders>
              <w:top w:val="nil"/>
              <w:bottom w:val="nil"/>
            </w:tcBorders>
            <w:vAlign w:val="center"/>
            <w:hideMark/>
          </w:tcPr>
          <w:p w:rsidR="005E3497" w:rsidRPr="00FE2C4A" w:rsidRDefault="005E3497" w:rsidP="00CB146D">
            <w:pPr>
              <w:rPr>
                <w:rFonts w:ascii="Times New Roman" w:eastAsia="Times New Roman" w:hAnsi="Times New Roman" w:cs="Times New Roman"/>
                <w:color w:val="000000"/>
                <w:sz w:val="20"/>
                <w:szCs w:val="20"/>
              </w:rPr>
            </w:pPr>
            <w:r w:rsidRPr="00FE2C4A">
              <w:rPr>
                <w:rFonts w:ascii="Times New Roman" w:eastAsia="Times New Roman" w:hAnsi="Times New Roman" w:cs="Times New Roman"/>
                <w:color w:val="000000"/>
                <w:sz w:val="20"/>
                <w:szCs w:val="20"/>
              </w:rPr>
              <w:t>Jerman</w:t>
            </w:r>
          </w:p>
        </w:tc>
        <w:tc>
          <w:tcPr>
            <w:tcW w:w="1701" w:type="dxa"/>
            <w:tcBorders>
              <w:top w:val="nil"/>
              <w:bottom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-0,046</w:t>
            </w:r>
          </w:p>
        </w:tc>
        <w:tc>
          <w:tcPr>
            <w:tcW w:w="1560" w:type="dxa"/>
            <w:tcBorders>
              <w:top w:val="nil"/>
              <w:bottom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-0,003</w:t>
            </w:r>
          </w:p>
        </w:tc>
        <w:tc>
          <w:tcPr>
            <w:tcW w:w="2409" w:type="dxa"/>
            <w:tcBorders>
              <w:top w:val="nil"/>
              <w:bottom w:val="nil"/>
            </w:tcBorders>
            <w:vAlign w:val="center"/>
          </w:tcPr>
          <w:p w:rsidR="005E3497" w:rsidRPr="00FE2C4A" w:rsidRDefault="005E3497" w:rsidP="00CB146D">
            <w:pPr>
              <w:rPr>
                <w:rFonts w:ascii="Times New Roman" w:hAnsi="Times New Roman" w:cs="Times New Roman"/>
                <w:color w:val="000000"/>
                <w:sz w:val="20"/>
                <w:szCs w:val="20"/>
              </w:rPr>
            </w:pPr>
            <w:r w:rsidRPr="00FE2C4A">
              <w:rPr>
                <w:rFonts w:ascii="Times New Roman" w:hAnsi="Times New Roman" w:cs="Times New Roman"/>
                <w:color w:val="000000"/>
                <w:sz w:val="20"/>
                <w:szCs w:val="20"/>
              </w:rPr>
              <w:t>Retreat</w:t>
            </w:r>
          </w:p>
        </w:tc>
      </w:tr>
      <w:tr w:rsidR="005E3497" w:rsidRPr="00BE6EE7" w:rsidTr="00D15064">
        <w:trPr>
          <w:trHeight w:val="248"/>
        </w:trPr>
        <w:tc>
          <w:tcPr>
            <w:tcW w:w="2268" w:type="dxa"/>
            <w:tcBorders>
              <w:top w:val="nil"/>
              <w:bottom w:val="nil"/>
            </w:tcBorders>
            <w:vAlign w:val="center"/>
            <w:hideMark/>
          </w:tcPr>
          <w:p w:rsidR="005E3497" w:rsidRPr="00FE2C4A" w:rsidRDefault="005E3497" w:rsidP="00CB146D">
            <w:pPr>
              <w:rPr>
                <w:rFonts w:ascii="Times New Roman" w:eastAsia="Times New Roman" w:hAnsi="Times New Roman" w:cs="Times New Roman"/>
                <w:color w:val="000000"/>
                <w:sz w:val="20"/>
                <w:szCs w:val="20"/>
              </w:rPr>
            </w:pPr>
            <w:r w:rsidRPr="00FE2C4A">
              <w:rPr>
                <w:rFonts w:ascii="Times New Roman" w:eastAsia="Times New Roman" w:hAnsi="Times New Roman" w:cs="Times New Roman"/>
                <w:color w:val="000000"/>
                <w:sz w:val="20"/>
                <w:szCs w:val="20"/>
              </w:rPr>
              <w:t>Belanda</w:t>
            </w:r>
          </w:p>
        </w:tc>
        <w:tc>
          <w:tcPr>
            <w:tcW w:w="1701" w:type="dxa"/>
            <w:tcBorders>
              <w:top w:val="nil"/>
              <w:bottom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-0,049</w:t>
            </w:r>
          </w:p>
        </w:tc>
        <w:tc>
          <w:tcPr>
            <w:tcW w:w="1560" w:type="dxa"/>
            <w:tcBorders>
              <w:top w:val="nil"/>
              <w:bottom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-0,010</w:t>
            </w:r>
          </w:p>
        </w:tc>
        <w:tc>
          <w:tcPr>
            <w:tcW w:w="2409" w:type="dxa"/>
            <w:tcBorders>
              <w:top w:val="nil"/>
              <w:bottom w:val="nil"/>
            </w:tcBorders>
            <w:vAlign w:val="center"/>
          </w:tcPr>
          <w:p w:rsidR="005E3497" w:rsidRPr="00FE2C4A" w:rsidRDefault="005E3497" w:rsidP="00CB146D">
            <w:pPr>
              <w:rPr>
                <w:rFonts w:ascii="Times New Roman" w:hAnsi="Times New Roman" w:cs="Times New Roman"/>
                <w:color w:val="000000"/>
                <w:sz w:val="20"/>
                <w:szCs w:val="20"/>
              </w:rPr>
            </w:pPr>
            <w:r w:rsidRPr="00FE2C4A">
              <w:rPr>
                <w:rFonts w:ascii="Times New Roman" w:hAnsi="Times New Roman" w:cs="Times New Roman"/>
                <w:color w:val="000000"/>
                <w:sz w:val="20"/>
                <w:szCs w:val="20"/>
              </w:rPr>
              <w:t>Retreat</w:t>
            </w:r>
          </w:p>
        </w:tc>
      </w:tr>
      <w:tr w:rsidR="005E3497" w:rsidRPr="00BE6EE7" w:rsidTr="00B44F42">
        <w:trPr>
          <w:trHeight w:val="172"/>
        </w:trPr>
        <w:tc>
          <w:tcPr>
            <w:tcW w:w="2268" w:type="dxa"/>
            <w:tcBorders>
              <w:top w:val="nil"/>
            </w:tcBorders>
            <w:vAlign w:val="center"/>
            <w:hideMark/>
          </w:tcPr>
          <w:p w:rsidR="005E3497" w:rsidRPr="00FE2C4A" w:rsidRDefault="005E3497" w:rsidP="00CB146D">
            <w:pPr>
              <w:rPr>
                <w:rFonts w:ascii="Times New Roman" w:eastAsia="Times New Roman" w:hAnsi="Times New Roman" w:cs="Times New Roman"/>
                <w:color w:val="000000"/>
                <w:sz w:val="20"/>
                <w:szCs w:val="20"/>
              </w:rPr>
            </w:pPr>
            <w:r w:rsidRPr="00FE2C4A">
              <w:rPr>
                <w:rFonts w:ascii="Times New Roman" w:eastAsia="Times New Roman" w:hAnsi="Times New Roman" w:cs="Times New Roman"/>
                <w:color w:val="000000"/>
                <w:sz w:val="20"/>
                <w:szCs w:val="20"/>
              </w:rPr>
              <w:t>Amerika Serikat</w:t>
            </w:r>
          </w:p>
        </w:tc>
        <w:tc>
          <w:tcPr>
            <w:tcW w:w="1701" w:type="dxa"/>
            <w:tcBorders>
              <w:top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0,007</w:t>
            </w:r>
          </w:p>
        </w:tc>
        <w:tc>
          <w:tcPr>
            <w:tcW w:w="1560" w:type="dxa"/>
            <w:tcBorders>
              <w:top w:val="nil"/>
            </w:tcBorders>
            <w:vAlign w:val="center"/>
          </w:tcPr>
          <w:p w:rsidR="005E3497" w:rsidRPr="00FE2C4A" w:rsidRDefault="005E3497" w:rsidP="00CB146D">
            <w:pPr>
              <w:jc w:val="center"/>
              <w:rPr>
                <w:rFonts w:ascii="Times New Roman" w:hAnsi="Times New Roman" w:cs="Times New Roman"/>
                <w:color w:val="000000"/>
                <w:sz w:val="20"/>
                <w:szCs w:val="20"/>
              </w:rPr>
            </w:pPr>
            <w:r w:rsidRPr="00FE2C4A">
              <w:rPr>
                <w:rFonts w:ascii="Times New Roman" w:hAnsi="Times New Roman" w:cs="Times New Roman"/>
                <w:color w:val="000000"/>
                <w:sz w:val="20"/>
                <w:szCs w:val="20"/>
              </w:rPr>
              <w:t>0,008</w:t>
            </w:r>
          </w:p>
        </w:tc>
        <w:tc>
          <w:tcPr>
            <w:tcW w:w="2409" w:type="dxa"/>
            <w:tcBorders>
              <w:top w:val="nil"/>
            </w:tcBorders>
            <w:vAlign w:val="center"/>
          </w:tcPr>
          <w:p w:rsidR="005E3497" w:rsidRPr="00FE2C4A" w:rsidRDefault="005E3497" w:rsidP="00CB146D">
            <w:pPr>
              <w:rPr>
                <w:rFonts w:ascii="Times New Roman" w:hAnsi="Times New Roman" w:cs="Times New Roman"/>
                <w:color w:val="000000"/>
                <w:sz w:val="20"/>
                <w:szCs w:val="20"/>
              </w:rPr>
            </w:pPr>
            <w:r w:rsidRPr="00FE2C4A">
              <w:rPr>
                <w:rFonts w:ascii="Times New Roman" w:hAnsi="Times New Roman" w:cs="Times New Roman"/>
                <w:color w:val="000000"/>
                <w:sz w:val="20"/>
                <w:szCs w:val="20"/>
              </w:rPr>
              <w:t>Rising Star</w:t>
            </w:r>
          </w:p>
        </w:tc>
      </w:tr>
    </w:tbl>
    <w:p w:rsidR="00412C0E" w:rsidRPr="00FE2C4A" w:rsidRDefault="00412C0E" w:rsidP="00CB146D">
      <w:pPr>
        <w:spacing w:after="0" w:line="240" w:lineRule="auto"/>
        <w:jc w:val="both"/>
        <w:rPr>
          <w:rFonts w:ascii="Times New Roman" w:hAnsi="Times New Roman" w:cs="Times New Roman"/>
          <w:color w:val="000000"/>
          <w:sz w:val="20"/>
          <w:szCs w:val="20"/>
          <w:lang w:val="id-ID"/>
        </w:rPr>
      </w:pPr>
      <w:r w:rsidRPr="00FE2C4A">
        <w:rPr>
          <w:rFonts w:ascii="Times New Roman" w:eastAsia="Times New Roman" w:hAnsi="Times New Roman" w:cs="Times New Roman"/>
          <w:color w:val="000000"/>
          <w:sz w:val="20"/>
          <w:szCs w:val="20"/>
        </w:rPr>
        <w:t>Sumber :</w:t>
      </w:r>
      <w:r w:rsidRPr="00FE2C4A">
        <w:rPr>
          <w:rFonts w:ascii="Times New Roman" w:eastAsia="Times New Roman" w:hAnsi="Times New Roman" w:cs="Times New Roman"/>
          <w:i/>
          <w:color w:val="000000"/>
          <w:sz w:val="20"/>
          <w:szCs w:val="20"/>
        </w:rPr>
        <w:t xml:space="preserve"> </w:t>
      </w:r>
      <w:r w:rsidRPr="00FE2C4A">
        <w:rPr>
          <w:rFonts w:ascii="Times New Roman" w:eastAsia="Times New Roman" w:hAnsi="Times New Roman" w:cs="Times New Roman"/>
          <w:color w:val="000000"/>
          <w:sz w:val="20"/>
          <w:szCs w:val="20"/>
        </w:rPr>
        <w:t>data diolah, 2021</w:t>
      </w:r>
    </w:p>
    <w:p w:rsidR="005E3497" w:rsidRDefault="005E3497" w:rsidP="00CB146D">
      <w:pPr>
        <w:spacing w:after="0" w:line="240" w:lineRule="auto"/>
        <w:jc w:val="both"/>
        <w:rPr>
          <w:rFonts w:ascii="Times New Roman" w:eastAsia="Times New Roman" w:hAnsi="Times New Roman" w:cs="Times New Roman"/>
          <w:color w:val="000000"/>
        </w:rPr>
      </w:pPr>
    </w:p>
    <w:p w:rsidR="00412C0E" w:rsidRDefault="00412C0E" w:rsidP="00CB146D">
      <w:pPr>
        <w:spacing w:after="0" w:line="240" w:lineRule="auto"/>
        <w:ind w:left="826" w:hanging="826"/>
        <w:jc w:val="both"/>
        <w:rPr>
          <w:rFonts w:ascii="Times New Roman" w:eastAsia="Times New Roman" w:hAnsi="Times New Roman" w:cs="Times New Roman"/>
          <w:color w:val="000000"/>
        </w:rPr>
      </w:pPr>
      <w:r>
        <w:rPr>
          <w:rFonts w:ascii="Times New Roman" w:eastAsia="Times New Roman" w:hAnsi="Times New Roman" w:cs="Times New Roman"/>
          <w:color w:val="000000"/>
        </w:rPr>
        <w:t>Tabel 5</w:t>
      </w:r>
      <w:r>
        <w:rPr>
          <w:rFonts w:ascii="Times New Roman" w:eastAsia="Times New Roman" w:hAnsi="Times New Roman" w:cs="Times New Roman"/>
          <w:color w:val="000000"/>
          <w:lang w:val="id-ID"/>
        </w:rPr>
        <w:t>.</w:t>
      </w:r>
      <w:r w:rsidRPr="00BE6EE7">
        <w:rPr>
          <w:rFonts w:ascii="Times New Roman" w:eastAsia="Times New Roman" w:hAnsi="Times New Roman" w:cs="Times New Roman"/>
          <w:color w:val="000000"/>
        </w:rPr>
        <w:t xml:space="preserve"> Nilai EPD </w:t>
      </w:r>
      <w:r>
        <w:rPr>
          <w:rFonts w:ascii="Times New Roman" w:eastAsia="Times New Roman" w:hAnsi="Times New Roman" w:cs="Times New Roman"/>
          <w:color w:val="000000"/>
        </w:rPr>
        <w:t>komoditas tembakau</w:t>
      </w:r>
      <w:r>
        <w:rPr>
          <w:rFonts w:ascii="Times New Roman" w:eastAsia="Times New Roman" w:hAnsi="Times New Roman" w:cs="Times New Roman"/>
          <w:color w:val="000000"/>
          <w:lang w:val="id-ID"/>
        </w:rPr>
        <w:t xml:space="preserve"> </w:t>
      </w:r>
      <w:r>
        <w:rPr>
          <w:rFonts w:ascii="Times New Roman" w:eastAsia="Times New Roman" w:hAnsi="Times New Roman" w:cs="Times New Roman"/>
          <w:color w:val="000000"/>
        </w:rPr>
        <w:t>I</w:t>
      </w:r>
      <w:r w:rsidRPr="00BE6EE7">
        <w:rPr>
          <w:rFonts w:ascii="Times New Roman" w:eastAsia="Times New Roman" w:hAnsi="Times New Roman" w:cs="Times New Roman"/>
          <w:color w:val="000000"/>
        </w:rPr>
        <w:t>ndonesia di negara tujuan utama</w:t>
      </w:r>
      <w:r>
        <w:rPr>
          <w:rFonts w:ascii="Times New Roman" w:eastAsia="Times New Roman" w:hAnsi="Times New Roman" w:cs="Times New Roman"/>
          <w:color w:val="000000"/>
          <w:lang w:val="id-ID"/>
        </w:rPr>
        <w:t xml:space="preserve"> </w:t>
      </w:r>
      <w:r>
        <w:rPr>
          <w:rFonts w:ascii="Times New Roman" w:eastAsia="Times New Roman" w:hAnsi="Times New Roman" w:cs="Times New Roman"/>
          <w:color w:val="000000"/>
        </w:rPr>
        <w:t>tahun 2020</w:t>
      </w:r>
      <w:r w:rsidRPr="00BE6EE7">
        <w:rPr>
          <w:rFonts w:ascii="Times New Roman" w:eastAsia="Times New Roman" w:hAnsi="Times New Roman" w:cs="Times New Roman"/>
          <w:color w:val="000000"/>
        </w:rPr>
        <w:t xml:space="preserve"> – 20</w:t>
      </w:r>
      <w:r>
        <w:rPr>
          <w:rFonts w:ascii="Times New Roman" w:eastAsia="Times New Roman" w:hAnsi="Times New Roman" w:cs="Times New Roman"/>
          <w:color w:val="000000"/>
          <w:lang w:val="id-ID"/>
        </w:rPr>
        <w:t>21</w:t>
      </w:r>
    </w:p>
    <w:tbl>
      <w:tblPr>
        <w:tblStyle w:val="TableGrid"/>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1701"/>
        <w:gridCol w:w="1560"/>
        <w:gridCol w:w="2409"/>
      </w:tblGrid>
      <w:tr w:rsidR="00412C0E" w:rsidRPr="00D15064" w:rsidTr="00D15064">
        <w:trPr>
          <w:trHeight w:val="248"/>
        </w:trPr>
        <w:tc>
          <w:tcPr>
            <w:tcW w:w="2268" w:type="dxa"/>
            <w:vMerge w:val="restart"/>
            <w:vAlign w:val="center"/>
            <w:hideMark/>
          </w:tcPr>
          <w:p w:rsidR="00412C0E" w:rsidRPr="00D15064" w:rsidRDefault="00412C0E" w:rsidP="00B44F42">
            <w:pPr>
              <w:jc w:val="cente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Negara</w:t>
            </w:r>
          </w:p>
        </w:tc>
        <w:tc>
          <w:tcPr>
            <w:tcW w:w="5670" w:type="dxa"/>
            <w:gridSpan w:val="3"/>
            <w:vAlign w:val="center"/>
            <w:hideMark/>
          </w:tcPr>
          <w:p w:rsidR="00412C0E" w:rsidRPr="00D15064" w:rsidRDefault="00412C0E" w:rsidP="00B44F42">
            <w:pPr>
              <w:jc w:val="cente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Saat Covid-19</w:t>
            </w:r>
          </w:p>
        </w:tc>
      </w:tr>
      <w:tr w:rsidR="00412C0E" w:rsidRPr="00D15064" w:rsidTr="00D15064">
        <w:trPr>
          <w:trHeight w:val="529"/>
        </w:trPr>
        <w:tc>
          <w:tcPr>
            <w:tcW w:w="2268" w:type="dxa"/>
            <w:vMerge/>
            <w:tcBorders>
              <w:bottom w:val="single" w:sz="4" w:space="0" w:color="auto"/>
            </w:tcBorders>
            <w:vAlign w:val="center"/>
          </w:tcPr>
          <w:p w:rsidR="00412C0E" w:rsidRPr="00D15064" w:rsidRDefault="00412C0E" w:rsidP="00B44F42">
            <w:pPr>
              <w:rPr>
                <w:rFonts w:ascii="Times New Roman" w:eastAsia="Times New Roman" w:hAnsi="Times New Roman" w:cs="Times New Roman"/>
                <w:color w:val="000000"/>
                <w:sz w:val="20"/>
                <w:szCs w:val="20"/>
              </w:rPr>
            </w:pPr>
          </w:p>
        </w:tc>
        <w:tc>
          <w:tcPr>
            <w:tcW w:w="1701" w:type="dxa"/>
            <w:tcBorders>
              <w:bottom w:val="single" w:sz="4" w:space="0" w:color="auto"/>
            </w:tcBorders>
            <w:vAlign w:val="center"/>
          </w:tcPr>
          <w:p w:rsidR="00412C0E" w:rsidRPr="00D15064" w:rsidRDefault="00412C0E" w:rsidP="00B44F42">
            <w:pPr>
              <w:jc w:val="center"/>
              <w:rPr>
                <w:rFonts w:ascii="Times New Roman" w:hAnsi="Times New Roman" w:cs="Times New Roman"/>
                <w:color w:val="000000"/>
                <w:sz w:val="20"/>
                <w:szCs w:val="20"/>
              </w:rPr>
            </w:pPr>
            <w:r w:rsidRPr="00D15064">
              <w:rPr>
                <w:rFonts w:ascii="Times New Roman" w:hAnsi="Times New Roman" w:cs="Times New Roman"/>
                <w:color w:val="000000"/>
                <w:sz w:val="20"/>
                <w:szCs w:val="20"/>
              </w:rPr>
              <w:t>Sumbu X</w:t>
            </w:r>
          </w:p>
        </w:tc>
        <w:tc>
          <w:tcPr>
            <w:tcW w:w="1560" w:type="dxa"/>
            <w:tcBorders>
              <w:bottom w:val="single" w:sz="4" w:space="0" w:color="auto"/>
            </w:tcBorders>
            <w:vAlign w:val="center"/>
          </w:tcPr>
          <w:p w:rsidR="00412C0E" w:rsidRPr="00D15064" w:rsidRDefault="00412C0E" w:rsidP="00B44F42">
            <w:pPr>
              <w:jc w:val="center"/>
              <w:rPr>
                <w:rFonts w:ascii="Times New Roman" w:hAnsi="Times New Roman" w:cs="Times New Roman"/>
                <w:color w:val="000000"/>
                <w:sz w:val="20"/>
                <w:szCs w:val="20"/>
              </w:rPr>
            </w:pPr>
            <w:r w:rsidRPr="00D15064">
              <w:rPr>
                <w:rFonts w:ascii="Times New Roman" w:hAnsi="Times New Roman" w:cs="Times New Roman"/>
                <w:color w:val="000000"/>
                <w:sz w:val="20"/>
                <w:szCs w:val="20"/>
              </w:rPr>
              <w:t>Sumbu Y</w:t>
            </w:r>
          </w:p>
        </w:tc>
        <w:tc>
          <w:tcPr>
            <w:tcW w:w="2409" w:type="dxa"/>
            <w:tcBorders>
              <w:bottom w:val="single" w:sz="4" w:space="0" w:color="auto"/>
            </w:tcBorders>
            <w:vAlign w:val="center"/>
          </w:tcPr>
          <w:p w:rsidR="00412C0E" w:rsidRPr="00D15064" w:rsidRDefault="00412C0E" w:rsidP="00B44F42">
            <w:pPr>
              <w:jc w:val="cente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Indikator</w:t>
            </w:r>
          </w:p>
        </w:tc>
      </w:tr>
      <w:tr w:rsidR="00412C0E" w:rsidRPr="00D15064" w:rsidTr="00D15064">
        <w:trPr>
          <w:trHeight w:val="264"/>
        </w:trPr>
        <w:tc>
          <w:tcPr>
            <w:tcW w:w="2268" w:type="dxa"/>
            <w:tcBorders>
              <w:bottom w:val="nil"/>
            </w:tcBorders>
            <w:vAlign w:val="center"/>
            <w:hideMark/>
          </w:tcPr>
          <w:p w:rsidR="00412C0E" w:rsidRPr="00D15064" w:rsidRDefault="00412C0E" w:rsidP="00B44F42">
            <w:pP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Belgia</w:t>
            </w:r>
          </w:p>
        </w:tc>
        <w:tc>
          <w:tcPr>
            <w:tcW w:w="1701" w:type="dxa"/>
            <w:tcBorders>
              <w:bottom w:val="nil"/>
            </w:tcBorders>
            <w:vAlign w:val="center"/>
          </w:tcPr>
          <w:p w:rsidR="00412C0E" w:rsidRPr="00D15064" w:rsidRDefault="00412C0E" w:rsidP="00B44F42">
            <w:pPr>
              <w:jc w:val="center"/>
              <w:rPr>
                <w:rFonts w:ascii="Times New Roman" w:hAnsi="Times New Roman" w:cs="Times New Roman"/>
                <w:color w:val="000000"/>
                <w:sz w:val="20"/>
                <w:szCs w:val="20"/>
              </w:rPr>
            </w:pPr>
            <w:r w:rsidRPr="00D15064">
              <w:rPr>
                <w:rFonts w:ascii="Times New Roman" w:hAnsi="Times New Roman" w:cs="Times New Roman"/>
                <w:color w:val="000000"/>
                <w:sz w:val="20"/>
                <w:szCs w:val="20"/>
              </w:rPr>
              <w:t>0,753</w:t>
            </w:r>
          </w:p>
        </w:tc>
        <w:tc>
          <w:tcPr>
            <w:tcW w:w="1560" w:type="dxa"/>
            <w:tcBorders>
              <w:bottom w:val="nil"/>
            </w:tcBorders>
            <w:vAlign w:val="center"/>
          </w:tcPr>
          <w:p w:rsidR="00412C0E" w:rsidRPr="00D15064" w:rsidRDefault="00412C0E" w:rsidP="00B44F42">
            <w:pPr>
              <w:jc w:val="cente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-0,006</w:t>
            </w:r>
          </w:p>
        </w:tc>
        <w:tc>
          <w:tcPr>
            <w:tcW w:w="2409" w:type="dxa"/>
            <w:tcBorders>
              <w:bottom w:val="nil"/>
            </w:tcBorders>
            <w:vAlign w:val="center"/>
          </w:tcPr>
          <w:p w:rsidR="00412C0E" w:rsidRPr="00D15064" w:rsidRDefault="00412C0E" w:rsidP="00B44F42">
            <w:pP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Falling Star</w:t>
            </w:r>
          </w:p>
        </w:tc>
      </w:tr>
      <w:tr w:rsidR="00412C0E" w:rsidRPr="00D15064" w:rsidTr="00D15064">
        <w:trPr>
          <w:trHeight w:val="248"/>
        </w:trPr>
        <w:tc>
          <w:tcPr>
            <w:tcW w:w="2268" w:type="dxa"/>
            <w:tcBorders>
              <w:top w:val="nil"/>
              <w:bottom w:val="nil"/>
            </w:tcBorders>
            <w:vAlign w:val="center"/>
            <w:hideMark/>
          </w:tcPr>
          <w:p w:rsidR="00412C0E" w:rsidRPr="00D15064" w:rsidRDefault="00412C0E" w:rsidP="00B44F42">
            <w:pPr>
              <w:ind w:right="1167"/>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Singapura</w:t>
            </w:r>
          </w:p>
        </w:tc>
        <w:tc>
          <w:tcPr>
            <w:tcW w:w="1701" w:type="dxa"/>
            <w:tcBorders>
              <w:top w:val="nil"/>
              <w:bottom w:val="nil"/>
            </w:tcBorders>
            <w:vAlign w:val="center"/>
          </w:tcPr>
          <w:p w:rsidR="00412C0E" w:rsidRPr="00D15064" w:rsidRDefault="00412C0E" w:rsidP="00B44F42">
            <w:pPr>
              <w:jc w:val="center"/>
              <w:rPr>
                <w:rFonts w:ascii="Times New Roman" w:hAnsi="Times New Roman" w:cs="Times New Roman"/>
                <w:color w:val="000000"/>
                <w:sz w:val="20"/>
                <w:szCs w:val="20"/>
              </w:rPr>
            </w:pPr>
            <w:r w:rsidRPr="00D15064">
              <w:rPr>
                <w:rFonts w:ascii="Times New Roman" w:hAnsi="Times New Roman" w:cs="Times New Roman"/>
                <w:color w:val="000000"/>
                <w:sz w:val="20"/>
                <w:szCs w:val="20"/>
              </w:rPr>
              <w:t>6,196</w:t>
            </w:r>
          </w:p>
        </w:tc>
        <w:tc>
          <w:tcPr>
            <w:tcW w:w="1560" w:type="dxa"/>
            <w:tcBorders>
              <w:top w:val="nil"/>
              <w:bottom w:val="nil"/>
            </w:tcBorders>
            <w:vAlign w:val="center"/>
          </w:tcPr>
          <w:p w:rsidR="00412C0E" w:rsidRPr="00D15064" w:rsidRDefault="00412C0E" w:rsidP="00B44F42">
            <w:pPr>
              <w:jc w:val="cente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17,115</w:t>
            </w:r>
          </w:p>
        </w:tc>
        <w:tc>
          <w:tcPr>
            <w:tcW w:w="2409" w:type="dxa"/>
            <w:tcBorders>
              <w:top w:val="nil"/>
              <w:bottom w:val="nil"/>
            </w:tcBorders>
            <w:vAlign w:val="center"/>
          </w:tcPr>
          <w:p w:rsidR="00412C0E" w:rsidRPr="00D15064" w:rsidRDefault="00412C0E" w:rsidP="00B44F42">
            <w:pP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Rising Star</w:t>
            </w:r>
          </w:p>
        </w:tc>
      </w:tr>
      <w:tr w:rsidR="00412C0E" w:rsidRPr="00D15064" w:rsidTr="00B44F42">
        <w:trPr>
          <w:trHeight w:val="201"/>
        </w:trPr>
        <w:tc>
          <w:tcPr>
            <w:tcW w:w="2268" w:type="dxa"/>
            <w:tcBorders>
              <w:top w:val="nil"/>
              <w:bottom w:val="nil"/>
            </w:tcBorders>
            <w:vAlign w:val="center"/>
            <w:hideMark/>
          </w:tcPr>
          <w:p w:rsidR="00412C0E" w:rsidRPr="00D15064" w:rsidRDefault="00412C0E" w:rsidP="00B44F42">
            <w:pP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Republik Dominika</w:t>
            </w:r>
          </w:p>
        </w:tc>
        <w:tc>
          <w:tcPr>
            <w:tcW w:w="1701" w:type="dxa"/>
            <w:tcBorders>
              <w:top w:val="nil"/>
              <w:bottom w:val="nil"/>
            </w:tcBorders>
            <w:vAlign w:val="center"/>
          </w:tcPr>
          <w:p w:rsidR="00412C0E" w:rsidRPr="00D15064" w:rsidRDefault="00412C0E" w:rsidP="00B44F42">
            <w:pPr>
              <w:jc w:val="center"/>
              <w:rPr>
                <w:rFonts w:ascii="Times New Roman" w:hAnsi="Times New Roman" w:cs="Times New Roman"/>
                <w:color w:val="000000"/>
                <w:sz w:val="20"/>
                <w:szCs w:val="20"/>
              </w:rPr>
            </w:pPr>
            <w:r w:rsidRPr="00D15064">
              <w:rPr>
                <w:rFonts w:ascii="Times New Roman" w:hAnsi="Times New Roman" w:cs="Times New Roman"/>
                <w:color w:val="000000"/>
                <w:sz w:val="20"/>
                <w:szCs w:val="20"/>
              </w:rPr>
              <w:t>0,521</w:t>
            </w:r>
          </w:p>
        </w:tc>
        <w:tc>
          <w:tcPr>
            <w:tcW w:w="1560" w:type="dxa"/>
            <w:tcBorders>
              <w:top w:val="nil"/>
              <w:bottom w:val="nil"/>
            </w:tcBorders>
            <w:vAlign w:val="center"/>
          </w:tcPr>
          <w:p w:rsidR="00412C0E" w:rsidRPr="00D15064" w:rsidRDefault="00412C0E" w:rsidP="00B44F42">
            <w:pPr>
              <w:jc w:val="cente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0,021</w:t>
            </w:r>
          </w:p>
        </w:tc>
        <w:tc>
          <w:tcPr>
            <w:tcW w:w="2409" w:type="dxa"/>
            <w:tcBorders>
              <w:top w:val="nil"/>
              <w:bottom w:val="nil"/>
            </w:tcBorders>
            <w:vAlign w:val="center"/>
          </w:tcPr>
          <w:p w:rsidR="00412C0E" w:rsidRPr="00D15064" w:rsidRDefault="00412C0E" w:rsidP="00B44F42">
            <w:pP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Rising Star</w:t>
            </w:r>
          </w:p>
        </w:tc>
      </w:tr>
      <w:tr w:rsidR="00412C0E" w:rsidRPr="00D15064" w:rsidTr="00D15064">
        <w:trPr>
          <w:trHeight w:val="248"/>
        </w:trPr>
        <w:tc>
          <w:tcPr>
            <w:tcW w:w="2268" w:type="dxa"/>
            <w:tcBorders>
              <w:top w:val="nil"/>
              <w:bottom w:val="nil"/>
            </w:tcBorders>
            <w:vAlign w:val="center"/>
            <w:hideMark/>
          </w:tcPr>
          <w:p w:rsidR="00412C0E" w:rsidRPr="00D15064" w:rsidRDefault="00412C0E" w:rsidP="00B44F42">
            <w:pP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Sri Lanka</w:t>
            </w:r>
          </w:p>
        </w:tc>
        <w:tc>
          <w:tcPr>
            <w:tcW w:w="1701" w:type="dxa"/>
            <w:tcBorders>
              <w:top w:val="nil"/>
              <w:bottom w:val="nil"/>
            </w:tcBorders>
            <w:vAlign w:val="center"/>
          </w:tcPr>
          <w:p w:rsidR="00412C0E" w:rsidRPr="00D15064" w:rsidRDefault="00412C0E" w:rsidP="00B44F42">
            <w:pPr>
              <w:jc w:val="center"/>
              <w:rPr>
                <w:rFonts w:ascii="Times New Roman" w:hAnsi="Times New Roman" w:cs="Times New Roman"/>
                <w:color w:val="000000"/>
                <w:sz w:val="20"/>
                <w:szCs w:val="20"/>
              </w:rPr>
            </w:pPr>
            <w:r w:rsidRPr="00D15064">
              <w:rPr>
                <w:rFonts w:ascii="Times New Roman" w:hAnsi="Times New Roman" w:cs="Times New Roman"/>
                <w:color w:val="000000"/>
                <w:sz w:val="20"/>
                <w:szCs w:val="20"/>
              </w:rPr>
              <w:t>7,622</w:t>
            </w:r>
          </w:p>
        </w:tc>
        <w:tc>
          <w:tcPr>
            <w:tcW w:w="1560" w:type="dxa"/>
            <w:tcBorders>
              <w:top w:val="nil"/>
              <w:bottom w:val="nil"/>
            </w:tcBorders>
            <w:vAlign w:val="center"/>
          </w:tcPr>
          <w:p w:rsidR="00412C0E" w:rsidRPr="00D15064" w:rsidRDefault="00412C0E" w:rsidP="00B44F42">
            <w:pPr>
              <w:jc w:val="cente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4,568</w:t>
            </w:r>
          </w:p>
        </w:tc>
        <w:tc>
          <w:tcPr>
            <w:tcW w:w="2409" w:type="dxa"/>
            <w:tcBorders>
              <w:top w:val="nil"/>
              <w:bottom w:val="nil"/>
            </w:tcBorders>
            <w:vAlign w:val="center"/>
          </w:tcPr>
          <w:p w:rsidR="00412C0E" w:rsidRPr="00D15064" w:rsidRDefault="00412C0E" w:rsidP="00B44F42">
            <w:pP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Rising Star</w:t>
            </w:r>
          </w:p>
        </w:tc>
      </w:tr>
      <w:tr w:rsidR="00412C0E" w:rsidRPr="00D15064" w:rsidTr="00D15064">
        <w:trPr>
          <w:trHeight w:val="264"/>
        </w:trPr>
        <w:tc>
          <w:tcPr>
            <w:tcW w:w="2268" w:type="dxa"/>
            <w:tcBorders>
              <w:top w:val="nil"/>
              <w:bottom w:val="nil"/>
            </w:tcBorders>
            <w:vAlign w:val="center"/>
            <w:hideMark/>
          </w:tcPr>
          <w:p w:rsidR="00412C0E" w:rsidRPr="00D15064" w:rsidRDefault="00412C0E" w:rsidP="00B44F42">
            <w:pP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Jerman</w:t>
            </w:r>
          </w:p>
        </w:tc>
        <w:tc>
          <w:tcPr>
            <w:tcW w:w="1701" w:type="dxa"/>
            <w:tcBorders>
              <w:top w:val="nil"/>
              <w:bottom w:val="nil"/>
            </w:tcBorders>
            <w:vAlign w:val="center"/>
          </w:tcPr>
          <w:p w:rsidR="00412C0E" w:rsidRPr="00D15064" w:rsidRDefault="00412C0E" w:rsidP="00B44F42">
            <w:pPr>
              <w:jc w:val="center"/>
              <w:rPr>
                <w:rFonts w:ascii="Times New Roman" w:hAnsi="Times New Roman" w:cs="Times New Roman"/>
                <w:color w:val="000000"/>
                <w:sz w:val="20"/>
                <w:szCs w:val="20"/>
              </w:rPr>
            </w:pPr>
            <w:r w:rsidRPr="00D15064">
              <w:rPr>
                <w:rFonts w:ascii="Times New Roman" w:hAnsi="Times New Roman" w:cs="Times New Roman"/>
                <w:color w:val="000000"/>
                <w:sz w:val="20"/>
                <w:szCs w:val="20"/>
              </w:rPr>
              <w:t>0,279</w:t>
            </w:r>
          </w:p>
        </w:tc>
        <w:tc>
          <w:tcPr>
            <w:tcW w:w="1560" w:type="dxa"/>
            <w:tcBorders>
              <w:top w:val="nil"/>
              <w:bottom w:val="nil"/>
            </w:tcBorders>
            <w:vAlign w:val="center"/>
          </w:tcPr>
          <w:p w:rsidR="00412C0E" w:rsidRPr="00D15064" w:rsidRDefault="00412C0E" w:rsidP="00B44F42">
            <w:pPr>
              <w:jc w:val="cente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-0,001</w:t>
            </w:r>
          </w:p>
        </w:tc>
        <w:tc>
          <w:tcPr>
            <w:tcW w:w="2409" w:type="dxa"/>
            <w:tcBorders>
              <w:top w:val="nil"/>
              <w:bottom w:val="nil"/>
            </w:tcBorders>
            <w:vAlign w:val="center"/>
          </w:tcPr>
          <w:p w:rsidR="00412C0E" w:rsidRPr="00D15064" w:rsidRDefault="00412C0E" w:rsidP="00B44F42">
            <w:pP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Falling Star</w:t>
            </w:r>
          </w:p>
        </w:tc>
      </w:tr>
      <w:tr w:rsidR="00412C0E" w:rsidRPr="00D15064" w:rsidTr="00D15064">
        <w:trPr>
          <w:trHeight w:val="248"/>
        </w:trPr>
        <w:tc>
          <w:tcPr>
            <w:tcW w:w="2268" w:type="dxa"/>
            <w:tcBorders>
              <w:top w:val="nil"/>
              <w:bottom w:val="nil"/>
            </w:tcBorders>
            <w:vAlign w:val="center"/>
            <w:hideMark/>
          </w:tcPr>
          <w:p w:rsidR="00412C0E" w:rsidRPr="00D15064" w:rsidRDefault="00412C0E" w:rsidP="00B44F42">
            <w:pP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Belanda</w:t>
            </w:r>
          </w:p>
        </w:tc>
        <w:tc>
          <w:tcPr>
            <w:tcW w:w="1701" w:type="dxa"/>
            <w:tcBorders>
              <w:top w:val="nil"/>
              <w:bottom w:val="nil"/>
            </w:tcBorders>
            <w:vAlign w:val="center"/>
          </w:tcPr>
          <w:p w:rsidR="00412C0E" w:rsidRPr="00D15064" w:rsidRDefault="00412C0E" w:rsidP="00B44F42">
            <w:pPr>
              <w:jc w:val="center"/>
              <w:rPr>
                <w:rFonts w:ascii="Times New Roman" w:hAnsi="Times New Roman" w:cs="Times New Roman"/>
                <w:color w:val="000000"/>
                <w:sz w:val="20"/>
                <w:szCs w:val="20"/>
              </w:rPr>
            </w:pPr>
            <w:r w:rsidRPr="00D15064">
              <w:rPr>
                <w:rFonts w:ascii="Times New Roman" w:hAnsi="Times New Roman" w:cs="Times New Roman"/>
                <w:color w:val="000000"/>
                <w:sz w:val="20"/>
                <w:szCs w:val="20"/>
              </w:rPr>
              <w:t>-0,096</w:t>
            </w:r>
          </w:p>
        </w:tc>
        <w:tc>
          <w:tcPr>
            <w:tcW w:w="1560" w:type="dxa"/>
            <w:tcBorders>
              <w:top w:val="nil"/>
              <w:bottom w:val="nil"/>
            </w:tcBorders>
            <w:vAlign w:val="center"/>
          </w:tcPr>
          <w:p w:rsidR="00412C0E" w:rsidRPr="00D15064" w:rsidRDefault="00412C0E" w:rsidP="00B44F42">
            <w:pPr>
              <w:jc w:val="cente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0,002</w:t>
            </w:r>
          </w:p>
        </w:tc>
        <w:tc>
          <w:tcPr>
            <w:tcW w:w="2409" w:type="dxa"/>
            <w:tcBorders>
              <w:top w:val="nil"/>
              <w:bottom w:val="nil"/>
            </w:tcBorders>
            <w:vAlign w:val="center"/>
          </w:tcPr>
          <w:p w:rsidR="00412C0E" w:rsidRPr="00D15064" w:rsidRDefault="00412C0E" w:rsidP="00B44F42">
            <w:pP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Lost Opportunity</w:t>
            </w:r>
          </w:p>
        </w:tc>
      </w:tr>
      <w:tr w:rsidR="00412C0E" w:rsidRPr="00D15064" w:rsidTr="00B44F42">
        <w:trPr>
          <w:trHeight w:val="245"/>
        </w:trPr>
        <w:tc>
          <w:tcPr>
            <w:tcW w:w="2268" w:type="dxa"/>
            <w:tcBorders>
              <w:top w:val="nil"/>
            </w:tcBorders>
            <w:vAlign w:val="center"/>
            <w:hideMark/>
          </w:tcPr>
          <w:p w:rsidR="00412C0E" w:rsidRPr="00D15064" w:rsidRDefault="00412C0E" w:rsidP="00B44F42">
            <w:pP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Amerika Serikat</w:t>
            </w:r>
          </w:p>
        </w:tc>
        <w:tc>
          <w:tcPr>
            <w:tcW w:w="1701" w:type="dxa"/>
            <w:tcBorders>
              <w:top w:val="nil"/>
            </w:tcBorders>
            <w:vAlign w:val="center"/>
          </w:tcPr>
          <w:p w:rsidR="00412C0E" w:rsidRPr="00D15064" w:rsidRDefault="00412C0E" w:rsidP="00B44F42">
            <w:pPr>
              <w:jc w:val="center"/>
              <w:rPr>
                <w:rFonts w:ascii="Times New Roman" w:hAnsi="Times New Roman" w:cs="Times New Roman"/>
                <w:color w:val="000000"/>
                <w:sz w:val="20"/>
                <w:szCs w:val="20"/>
              </w:rPr>
            </w:pPr>
            <w:r w:rsidRPr="00D15064">
              <w:rPr>
                <w:rFonts w:ascii="Times New Roman" w:hAnsi="Times New Roman" w:cs="Times New Roman"/>
                <w:color w:val="000000"/>
                <w:sz w:val="20"/>
                <w:szCs w:val="20"/>
              </w:rPr>
              <w:t>-0,138</w:t>
            </w:r>
          </w:p>
        </w:tc>
        <w:tc>
          <w:tcPr>
            <w:tcW w:w="1560" w:type="dxa"/>
            <w:tcBorders>
              <w:top w:val="nil"/>
            </w:tcBorders>
            <w:vAlign w:val="center"/>
          </w:tcPr>
          <w:p w:rsidR="00412C0E" w:rsidRPr="00D15064" w:rsidRDefault="00412C0E" w:rsidP="00B44F42">
            <w:pPr>
              <w:jc w:val="cente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0,007</w:t>
            </w:r>
          </w:p>
        </w:tc>
        <w:tc>
          <w:tcPr>
            <w:tcW w:w="2409" w:type="dxa"/>
            <w:tcBorders>
              <w:top w:val="nil"/>
            </w:tcBorders>
            <w:vAlign w:val="center"/>
          </w:tcPr>
          <w:p w:rsidR="00412C0E" w:rsidRPr="00D15064" w:rsidRDefault="00412C0E" w:rsidP="00B44F42">
            <w:pPr>
              <w:rPr>
                <w:rFonts w:ascii="Times New Roman" w:eastAsia="Times New Roman" w:hAnsi="Times New Roman" w:cs="Times New Roman"/>
                <w:color w:val="000000"/>
                <w:sz w:val="20"/>
                <w:szCs w:val="20"/>
              </w:rPr>
            </w:pPr>
            <w:r w:rsidRPr="00D15064">
              <w:rPr>
                <w:rFonts w:ascii="Times New Roman" w:eastAsia="Times New Roman" w:hAnsi="Times New Roman" w:cs="Times New Roman"/>
                <w:color w:val="000000"/>
                <w:sz w:val="20"/>
                <w:szCs w:val="20"/>
              </w:rPr>
              <w:t>Lost Opportunity</w:t>
            </w:r>
          </w:p>
        </w:tc>
      </w:tr>
    </w:tbl>
    <w:p w:rsidR="001E318C" w:rsidRPr="00D15064" w:rsidRDefault="002D3BB0" w:rsidP="00CB146D">
      <w:pPr>
        <w:spacing w:after="0" w:line="240" w:lineRule="auto"/>
        <w:jc w:val="both"/>
        <w:rPr>
          <w:rFonts w:ascii="Times New Roman" w:hAnsi="Times New Roman" w:cs="Times New Roman"/>
          <w:color w:val="000000"/>
          <w:sz w:val="20"/>
          <w:szCs w:val="20"/>
          <w:lang w:val="id-ID"/>
        </w:rPr>
      </w:pPr>
      <w:r w:rsidRPr="00D15064">
        <w:rPr>
          <w:rFonts w:ascii="Times New Roman" w:eastAsia="Times New Roman" w:hAnsi="Times New Roman" w:cs="Times New Roman"/>
          <w:color w:val="000000"/>
          <w:sz w:val="20"/>
          <w:szCs w:val="20"/>
        </w:rPr>
        <w:t>Sumber :</w:t>
      </w:r>
      <w:r w:rsidRPr="00D15064">
        <w:rPr>
          <w:rFonts w:ascii="Times New Roman" w:eastAsia="Times New Roman" w:hAnsi="Times New Roman" w:cs="Times New Roman"/>
          <w:i/>
          <w:color w:val="000000"/>
          <w:sz w:val="20"/>
          <w:szCs w:val="20"/>
        </w:rPr>
        <w:t xml:space="preserve"> </w:t>
      </w:r>
      <w:r w:rsidR="00412C0E" w:rsidRPr="00D15064">
        <w:rPr>
          <w:rFonts w:ascii="Times New Roman" w:eastAsia="Times New Roman" w:hAnsi="Times New Roman" w:cs="Times New Roman"/>
          <w:color w:val="000000"/>
          <w:sz w:val="20"/>
          <w:szCs w:val="20"/>
        </w:rPr>
        <w:t>data diolah, 2021</w:t>
      </w:r>
    </w:p>
    <w:p w:rsidR="00F85700" w:rsidRPr="00BE6EE7" w:rsidRDefault="00F85700" w:rsidP="00CB146D">
      <w:pPr>
        <w:spacing w:after="0" w:line="240" w:lineRule="auto"/>
        <w:ind w:firstLine="567"/>
        <w:jc w:val="both"/>
        <w:rPr>
          <w:rFonts w:ascii="Times New Roman" w:eastAsia="Times New Roman" w:hAnsi="Times New Roman" w:cs="Times New Roman"/>
          <w:color w:val="000000"/>
        </w:rPr>
      </w:pPr>
      <w:r w:rsidRPr="00BE6EE7">
        <w:rPr>
          <w:rFonts w:ascii="Times New Roman" w:hAnsi="Times New Roman" w:cs="Times New Roman"/>
        </w:rPr>
        <w:t xml:space="preserve">Hasil analisis data EPD pada </w:t>
      </w:r>
      <w:r w:rsidRPr="00BE6EE7">
        <w:rPr>
          <w:rFonts w:ascii="Times New Roman" w:hAnsi="Times New Roman" w:cs="Times New Roman"/>
          <w:lang w:val="id-ID"/>
        </w:rPr>
        <w:t>Tabel 4</w:t>
      </w:r>
      <w:r w:rsidR="00233370">
        <w:rPr>
          <w:rFonts w:ascii="Times New Roman" w:hAnsi="Times New Roman" w:cs="Times New Roman"/>
          <w:lang w:val="id-ID"/>
        </w:rPr>
        <w:t xml:space="preserve"> dan Tabel 5</w:t>
      </w:r>
      <w:r w:rsidRPr="00BE6EE7">
        <w:rPr>
          <w:rFonts w:ascii="Times New Roman" w:hAnsi="Times New Roman" w:cs="Times New Roman"/>
        </w:rPr>
        <w:t xml:space="preserve"> menunjukkan bahwa adanya pandemi Covid-19 justru meningkatkan posisi pasar komoditas tembakau Indonesia di Belgia. Sebelum pandemi tembakau Indonesia berada di posisi </w:t>
      </w:r>
      <w:r w:rsidRPr="00BE6EE7">
        <w:rPr>
          <w:rFonts w:ascii="Times New Roman" w:hAnsi="Times New Roman" w:cs="Times New Roman"/>
          <w:i/>
        </w:rPr>
        <w:t xml:space="preserve">lost opportunity </w:t>
      </w:r>
      <w:r w:rsidRPr="00BE6EE7">
        <w:rPr>
          <w:rFonts w:ascii="Times New Roman" w:hAnsi="Times New Roman" w:cs="Times New Roman"/>
        </w:rPr>
        <w:t xml:space="preserve">yang artinya Indonesia kehilangan kesempatan dalam pengembangan pasar tembakau di Belgia. Akan tetapi, setelah pandemi posisi pasar tembakau Indonesia meningkat menjadi </w:t>
      </w:r>
      <w:r w:rsidRPr="00BE6EE7">
        <w:rPr>
          <w:rFonts w:ascii="Times New Roman" w:hAnsi="Times New Roman" w:cs="Times New Roman"/>
          <w:i/>
        </w:rPr>
        <w:t>falling star</w:t>
      </w:r>
      <w:r w:rsidRPr="00BE6EE7">
        <w:rPr>
          <w:rFonts w:ascii="Times New Roman" w:hAnsi="Times New Roman" w:cs="Times New Roman"/>
        </w:rPr>
        <w:t xml:space="preserve">. Posisi </w:t>
      </w:r>
      <w:r w:rsidRPr="00BE6EE7">
        <w:rPr>
          <w:rFonts w:ascii="Times New Roman" w:hAnsi="Times New Roman" w:cs="Times New Roman"/>
          <w:i/>
        </w:rPr>
        <w:t xml:space="preserve">falling star </w:t>
      </w:r>
      <w:r w:rsidRPr="00BE6EE7">
        <w:rPr>
          <w:rFonts w:ascii="Times New Roman" w:hAnsi="Times New Roman" w:cs="Times New Roman"/>
        </w:rPr>
        <w:t>artinya komoditas tembakau Indonesia yang di pasarkan mengalami penurunan. Walaupun posisi pasar komoditas tembakau Indonesia di Belgia belum ideal, peningkatan ini mengindikasikan bahwa pasar mulai menyukai tembakau Indonesia dan Indonesia memiliki kesempatan untuk terus mengembangkan pasar tembakau di Belgia. Hasil ini didukung oleh penelitian dari</w:t>
      </w:r>
      <w:r w:rsidRPr="00BE6EE7">
        <w:rPr>
          <w:rFonts w:ascii="Times New Roman" w:hAnsi="Times New Roman" w:cs="Times New Roman"/>
          <w:lang w:val="id-ID"/>
        </w:rPr>
        <w:t xml:space="preserve"> </w:t>
      </w:r>
      <w:r w:rsidRPr="00BE6EE7">
        <w:rPr>
          <w:rFonts w:ascii="Times New Roman" w:hAnsi="Times New Roman" w:cs="Times New Roman"/>
          <w:lang w:val="id-ID"/>
        </w:rPr>
        <w:fldChar w:fldCharType="begin" w:fldLock="1"/>
      </w:r>
      <w:r w:rsidRPr="00BE6EE7">
        <w:rPr>
          <w:rFonts w:ascii="Times New Roman" w:hAnsi="Times New Roman" w:cs="Times New Roman"/>
          <w:lang w:val="id-ID"/>
        </w:rPr>
        <w:instrText>ADDIN CSL_CITATION {"citationItems":[{"id":"ITEM-1","itemData":{"author":[{"dropping-particle":"","family":"Zainuddin","given":"Ahmad","non-dropping-particle":"","parse-names":false,"suffix":""},{"dropping-particle":"","family":"Magfiroh","given":"Illia Seldon","non-dropping-particle":"","parse-names":false,"suffix":""},{"dropping-particle":"","family":"Setyawati","given":"Intan Kartika","non-dropping-particle":"","parse-names":false,"suffix":""},{"dropping-particle":"","family":"Rahman","given":"Rena Yunita","non-dropping-particle":"","parse-names":false,"suffix":""}],"container-title":"IPB Press","id":"ITEM-1","issued":{"date-parts":[["2018"]]},"title":"Agribisnis Tembakau, Membuka Ruang Inovasi dan Bisnis untuk Kemajuan Industri","type":"chapter"},"uris":["http://www.mendeley.com/documents/?uuid=491eb04e-b92e-4ae2-958d-83112fe0f1e6"]}],"mendeley":{"formattedCitation":"(Zainuddin et al., 2018)","manualFormatting":"Zainuddin et al. (2018)","plainTextFormattedCitation":"(Zainuddin et al., 2018)","previouslyFormattedCitation":"(Zainuddin et al., 2018)"},"properties":{"noteIndex":0},"schema":"https://github.com/citation-style-language/schema/raw/master/csl-citation.json"}</w:instrText>
      </w:r>
      <w:r w:rsidRPr="00BE6EE7">
        <w:rPr>
          <w:rFonts w:ascii="Times New Roman" w:hAnsi="Times New Roman" w:cs="Times New Roman"/>
          <w:lang w:val="id-ID"/>
        </w:rPr>
        <w:fldChar w:fldCharType="separate"/>
      </w:r>
      <w:r w:rsidRPr="00BE6EE7">
        <w:rPr>
          <w:rFonts w:ascii="Times New Roman" w:hAnsi="Times New Roman" w:cs="Times New Roman"/>
          <w:noProof/>
          <w:lang w:val="id-ID"/>
        </w:rPr>
        <w:t xml:space="preserve">Zainuddin </w:t>
      </w:r>
      <w:r w:rsidRPr="00BE6EE7">
        <w:rPr>
          <w:rFonts w:ascii="Times New Roman" w:hAnsi="Times New Roman" w:cs="Times New Roman"/>
          <w:i/>
          <w:noProof/>
          <w:lang w:val="id-ID"/>
        </w:rPr>
        <w:t>et al.</w:t>
      </w:r>
      <w:r w:rsidRPr="00BE6EE7">
        <w:rPr>
          <w:rFonts w:ascii="Times New Roman" w:hAnsi="Times New Roman" w:cs="Times New Roman"/>
          <w:noProof/>
          <w:lang w:val="id-ID"/>
        </w:rPr>
        <w:t xml:space="preserve"> (2018)</w:t>
      </w:r>
      <w:r w:rsidRPr="00BE6EE7">
        <w:rPr>
          <w:rFonts w:ascii="Times New Roman" w:hAnsi="Times New Roman" w:cs="Times New Roman"/>
          <w:lang w:val="id-ID"/>
        </w:rPr>
        <w:fldChar w:fldCharType="end"/>
      </w:r>
      <w:r w:rsidRPr="00BE6EE7">
        <w:rPr>
          <w:rFonts w:ascii="Times New Roman" w:hAnsi="Times New Roman" w:cs="Times New Roman"/>
          <w:lang w:val="id-ID"/>
        </w:rPr>
        <w:t xml:space="preserve">, </w:t>
      </w:r>
      <w:r w:rsidRPr="00BE6EE7">
        <w:rPr>
          <w:rFonts w:ascii="Times New Roman" w:eastAsia="Times New Roman" w:hAnsi="Times New Roman" w:cs="Times New Roman"/>
          <w:color w:val="000000"/>
        </w:rPr>
        <w:t xml:space="preserve">di mana pada penelitian tersebut sebelum pandemi posisi pasar tembakau Indonesia berada di </w:t>
      </w:r>
      <w:r w:rsidRPr="00BE6EE7">
        <w:rPr>
          <w:rFonts w:ascii="Times New Roman" w:eastAsia="Times New Roman" w:hAnsi="Times New Roman" w:cs="Times New Roman"/>
          <w:i/>
          <w:color w:val="000000"/>
        </w:rPr>
        <w:t xml:space="preserve">falling star, </w:t>
      </w:r>
      <w:r w:rsidRPr="00BE6EE7">
        <w:rPr>
          <w:rFonts w:ascii="Times New Roman" w:eastAsia="Times New Roman" w:hAnsi="Times New Roman" w:cs="Times New Roman"/>
          <w:color w:val="000000"/>
        </w:rPr>
        <w:t>namun nilai ekspor tembakau sebelum pandemi pada penelitian tersebut lebih rendah dibandingkan setelah pandemi Covid-19.</w:t>
      </w:r>
    </w:p>
    <w:p w:rsidR="00F85700" w:rsidRPr="00BE6EE7" w:rsidRDefault="00F85700" w:rsidP="00CB146D">
      <w:pPr>
        <w:spacing w:after="0" w:line="240" w:lineRule="auto"/>
        <w:ind w:firstLine="567"/>
        <w:jc w:val="both"/>
        <w:rPr>
          <w:rFonts w:ascii="Times New Roman" w:hAnsi="Times New Roman" w:cs="Times New Roman"/>
        </w:rPr>
      </w:pPr>
      <w:r w:rsidRPr="00BE6EE7">
        <w:rPr>
          <w:rFonts w:ascii="Times New Roman" w:hAnsi="Times New Roman" w:cs="Times New Roman"/>
          <w:lang w:val="id-ID"/>
        </w:rPr>
        <w:lastRenderedPageBreak/>
        <w:t>P</w:t>
      </w:r>
      <w:r w:rsidRPr="00BE6EE7">
        <w:rPr>
          <w:rFonts w:ascii="Times New Roman" w:hAnsi="Times New Roman" w:cs="Times New Roman"/>
        </w:rPr>
        <w:t>osisi pasar tembakau Indonesia di Singapura semakin menguat setelah pandemi Covid-19. Posisi pasar Indonesia baik sebelum mapun sesudah pandemi berada pada posisi ideal yang artinya komoditas tembakau Indonesia dapat diterima oleh pasar dan pangsa pasar terus bertambah. Kondisi ini juga didukung oleh nilai RCA dari Singapura yang meningkat sangat besar. Peningkatan ini disebabkan oleh peningkatan nilai ekspor tembakau yang meningkat cukup besar hingga mencapai US$63.251.491,98 dan hampir sama dengan nilai ekspor tembakau dunia ke Singapura yakni sebesar US$69.657.365,00. Potensi ini harus terus dimanfaatkan oleh Indonesia agar terus meningkatkan kontribusi tembakau terhadap perekonomian nasional.</w:t>
      </w:r>
    </w:p>
    <w:p w:rsidR="00F85700" w:rsidRPr="00BE6EE7" w:rsidRDefault="00F85700" w:rsidP="00CB146D">
      <w:pPr>
        <w:spacing w:after="0" w:line="240" w:lineRule="auto"/>
        <w:ind w:firstLine="567"/>
        <w:jc w:val="both"/>
        <w:rPr>
          <w:rFonts w:ascii="Times New Roman" w:eastAsia="Times New Roman" w:hAnsi="Times New Roman" w:cs="Times New Roman"/>
          <w:color w:val="000000"/>
        </w:rPr>
      </w:pPr>
      <w:r w:rsidRPr="00BE6EE7">
        <w:rPr>
          <w:rFonts w:ascii="Times New Roman" w:hAnsi="Times New Roman" w:cs="Times New Roman"/>
        </w:rPr>
        <w:t>Hasil analisis EPD Republik Dominika menunjukkan bahwa posisi pasar tembakau Indonesia mengalami peningkatan yang sangat pesat. Sebelum pandemi Covid-19 tembakau Indonesia tidak terlalu diinginkan oleh pasar, namun setelah pandemi Covid-19 pasar tembakau Indonesia di Republik Dominika berada pada posisi ideal dan pangsa pasar terus bertambah. Kondisi ini juga di dukung oleh nilai RCA yang juga meningkat setelah pandemi. Peningkatan ini disebabkan oleh peningkatan ekspor tembakau Indonesia ke Republik Dominika serta peningkatan total ekspor Indonesia ke Republik Dominika jauh lebih besar dibanding dengan peningkatan total ekspor dunia ke Republik Dominika. Hasil analisis ini selaras dengan penelitian terdahulu yang dilakukan oleh</w:t>
      </w:r>
      <w:r w:rsidRPr="00BE6EE7">
        <w:rPr>
          <w:rFonts w:ascii="Times New Roman" w:hAnsi="Times New Roman" w:cs="Times New Roman"/>
          <w:lang w:val="id-ID"/>
        </w:rPr>
        <w:t xml:space="preserve"> </w:t>
      </w:r>
      <w:r w:rsidRPr="00BE6EE7">
        <w:rPr>
          <w:rFonts w:ascii="Times New Roman" w:hAnsi="Times New Roman" w:cs="Times New Roman"/>
          <w:lang w:val="id-ID"/>
        </w:rPr>
        <w:fldChar w:fldCharType="begin" w:fldLock="1"/>
      </w:r>
      <w:r w:rsidRPr="00BE6EE7">
        <w:rPr>
          <w:rFonts w:ascii="Times New Roman" w:hAnsi="Times New Roman" w:cs="Times New Roman"/>
          <w:lang w:val="id-ID"/>
        </w:rPr>
        <w:instrText>ADDIN CSL_CITATION {"citationItems":[{"id":"ITEM-1","itemData":{"author":[{"dropping-particle":"","family":"Zainuddin","given":"Ahmad","non-dropping-particle":"","parse-names":false,"suffix":""},{"dropping-particle":"","family":"Magfiroh","given":"Illia Seldon","non-dropping-particle":"","parse-names":false,"suffix":""},{"dropping-particle":"","family":"Setyawati","given":"Intan Kartika","non-dropping-particle":"","parse-names":false,"suffix":""},{"dropping-particle":"","family":"Rahman","given":"Rena Yunita","non-dropping-particle":"","parse-names":false,"suffix":""}],"container-title":"IPB Press","id":"ITEM-1","issued":{"date-parts":[["2018"]]},"title":"Agribisnis Tembakau, Membuka Ruang Inovasi dan Bisnis untuk Kemajuan Industri","type":"chapter"},"uris":["http://www.mendeley.com/documents/?uuid=491eb04e-b92e-4ae2-958d-83112fe0f1e6"]}],"mendeley":{"formattedCitation":"(Zainuddin et al., 2018)","manualFormatting":"Zainuddin et al. (2018)","plainTextFormattedCitation":"(Zainuddin et al., 2018)","previouslyFormattedCitation":"(Zainuddin et al., 2018)"},"properties":{"noteIndex":0},"schema":"https://github.com/citation-style-language/schema/raw/master/csl-citation.json"}</w:instrText>
      </w:r>
      <w:r w:rsidRPr="00BE6EE7">
        <w:rPr>
          <w:rFonts w:ascii="Times New Roman" w:hAnsi="Times New Roman" w:cs="Times New Roman"/>
          <w:lang w:val="id-ID"/>
        </w:rPr>
        <w:fldChar w:fldCharType="separate"/>
      </w:r>
      <w:r w:rsidRPr="00BE6EE7">
        <w:rPr>
          <w:rFonts w:ascii="Times New Roman" w:hAnsi="Times New Roman" w:cs="Times New Roman"/>
          <w:noProof/>
          <w:lang w:val="id-ID"/>
        </w:rPr>
        <w:t xml:space="preserve">Zainuddin </w:t>
      </w:r>
      <w:r w:rsidRPr="00BE6EE7">
        <w:rPr>
          <w:rFonts w:ascii="Times New Roman" w:hAnsi="Times New Roman" w:cs="Times New Roman"/>
          <w:i/>
          <w:noProof/>
          <w:lang w:val="id-ID"/>
        </w:rPr>
        <w:t>et al.</w:t>
      </w:r>
      <w:r w:rsidRPr="00BE6EE7">
        <w:rPr>
          <w:rFonts w:ascii="Times New Roman" w:hAnsi="Times New Roman" w:cs="Times New Roman"/>
          <w:noProof/>
          <w:lang w:val="id-ID"/>
        </w:rPr>
        <w:t xml:space="preserve"> (2018)</w:t>
      </w:r>
      <w:r w:rsidRPr="00BE6EE7">
        <w:rPr>
          <w:rFonts w:ascii="Times New Roman" w:hAnsi="Times New Roman" w:cs="Times New Roman"/>
          <w:lang w:val="id-ID"/>
        </w:rPr>
        <w:fldChar w:fldCharType="end"/>
      </w:r>
      <w:r w:rsidRPr="00BE6EE7">
        <w:rPr>
          <w:rFonts w:ascii="Times New Roman" w:hAnsi="Times New Roman" w:cs="Times New Roman"/>
          <w:lang w:val="id-ID"/>
        </w:rPr>
        <w:t xml:space="preserve">, </w:t>
      </w:r>
      <w:r w:rsidRPr="00BE6EE7">
        <w:rPr>
          <w:rFonts w:ascii="Times New Roman" w:eastAsia="Times New Roman" w:hAnsi="Times New Roman" w:cs="Times New Roman"/>
          <w:color w:val="000000"/>
        </w:rPr>
        <w:t>yakni terjadi peningkatan pangsa pasar dari sebelum pandemi dan saat Covid-19.</w:t>
      </w:r>
    </w:p>
    <w:p w:rsidR="00F85700" w:rsidRPr="00BE6EE7" w:rsidRDefault="00F85700" w:rsidP="00CB146D">
      <w:pPr>
        <w:spacing w:after="0" w:line="240" w:lineRule="auto"/>
        <w:ind w:firstLine="567"/>
        <w:jc w:val="both"/>
        <w:rPr>
          <w:rFonts w:ascii="Times New Roman" w:eastAsia="Times New Roman" w:hAnsi="Times New Roman" w:cs="Times New Roman"/>
          <w:color w:val="000000"/>
        </w:rPr>
      </w:pPr>
      <w:r w:rsidRPr="00BE6EE7">
        <w:rPr>
          <w:rFonts w:ascii="Times New Roman" w:hAnsi="Times New Roman" w:cs="Times New Roman"/>
        </w:rPr>
        <w:t xml:space="preserve">Hasil pengolahan data EPD menunjukkan </w:t>
      </w:r>
      <w:r w:rsidRPr="00BE6EE7">
        <w:rPr>
          <w:rFonts w:ascii="Times New Roman" w:hAnsi="Times New Roman" w:cs="Times New Roman"/>
          <w:lang w:val="id-ID"/>
        </w:rPr>
        <w:t xml:space="preserve">bahwa </w:t>
      </w:r>
      <w:r w:rsidRPr="00BE6EE7">
        <w:rPr>
          <w:rFonts w:ascii="Times New Roman" w:hAnsi="Times New Roman" w:cs="Times New Roman"/>
        </w:rPr>
        <w:t xml:space="preserve">pasar komoditas tembakau Indonesia di Sri Lanka berapa pada </w:t>
      </w:r>
      <w:r w:rsidRPr="00BE6EE7">
        <w:rPr>
          <w:rFonts w:ascii="Times New Roman" w:hAnsi="Times New Roman" w:cs="Times New Roman"/>
          <w:i/>
        </w:rPr>
        <w:t>rising star</w:t>
      </w:r>
      <w:r w:rsidRPr="00BE6EE7">
        <w:rPr>
          <w:rFonts w:ascii="Times New Roman" w:hAnsi="Times New Roman" w:cs="Times New Roman"/>
        </w:rPr>
        <w:t xml:space="preserve">, baik sebelum maupun saat pandemi Covid-19. Posisi </w:t>
      </w:r>
      <w:r w:rsidRPr="00BE6EE7">
        <w:rPr>
          <w:rFonts w:ascii="Times New Roman" w:hAnsi="Times New Roman" w:cs="Times New Roman"/>
          <w:i/>
        </w:rPr>
        <w:t xml:space="preserve">rising star </w:t>
      </w:r>
      <w:r w:rsidRPr="00BE6EE7">
        <w:rPr>
          <w:rFonts w:ascii="Times New Roman" w:hAnsi="Times New Roman" w:cs="Times New Roman"/>
        </w:rPr>
        <w:t>artinya komoditas tembakau Indonesia telah berada pada posisi ideal dan pangsa pasar terus bertambah. Adanya pandemi Covid-19 justru meningkatkan posisi pasar tembakau Indonesia di Sri Lanka. Peningkatan ini dipengaruhi oleh nilai total ekspor Indonesia yang meningkat cukup besar ke Sri Lanka. Peningkatan ini harus dimanfaatkan oleh Indonesia dengan terus mengembangkan sta</w:t>
      </w:r>
      <w:r w:rsidR="00BE3BC7" w:rsidRPr="00BE6EE7">
        <w:rPr>
          <w:rFonts w:ascii="Times New Roman" w:hAnsi="Times New Roman" w:cs="Times New Roman"/>
        </w:rPr>
        <w:t>dar mutu sesuai dengan keingina</w:t>
      </w:r>
      <w:r w:rsidR="00BE3BC7" w:rsidRPr="00BE6EE7">
        <w:rPr>
          <w:rFonts w:ascii="Times New Roman" w:hAnsi="Times New Roman" w:cs="Times New Roman"/>
          <w:lang w:val="id-ID"/>
        </w:rPr>
        <w:t>n</w:t>
      </w:r>
      <w:r w:rsidRPr="00BE6EE7">
        <w:rPr>
          <w:rFonts w:ascii="Times New Roman" w:hAnsi="Times New Roman" w:cs="Times New Roman"/>
        </w:rPr>
        <w:t xml:space="preserve"> pasar, sehingga pangsa pasar komoditas tembakau Indonesia terus meningkat dan memperkuat posisi Indonesia di negara Sri Lanka. Hasil analisis ini selaras dengan penelitian</w:t>
      </w:r>
      <w:r w:rsidRPr="00BE6EE7">
        <w:rPr>
          <w:rFonts w:ascii="Times New Roman" w:hAnsi="Times New Roman" w:cs="Times New Roman"/>
          <w:lang w:val="id-ID"/>
        </w:rPr>
        <w:t xml:space="preserve"> </w:t>
      </w:r>
      <w:r w:rsidRPr="00BE6EE7">
        <w:rPr>
          <w:rFonts w:ascii="Times New Roman" w:hAnsi="Times New Roman" w:cs="Times New Roman"/>
          <w:lang w:val="id-ID"/>
        </w:rPr>
        <w:fldChar w:fldCharType="begin" w:fldLock="1"/>
      </w:r>
      <w:r w:rsidRPr="00BE6EE7">
        <w:rPr>
          <w:rFonts w:ascii="Times New Roman" w:hAnsi="Times New Roman" w:cs="Times New Roman"/>
          <w:lang w:val="id-ID"/>
        </w:rPr>
        <w:instrText>ADDIN CSL_CITATION {"citationItems":[{"id":"ITEM-1","itemData":{"author":[{"dropping-particle":"","family":"Zainuddin","given":"Ahmad","non-dropping-particle":"","parse-names":false,"suffix":""},{"dropping-particle":"","family":"Magfiroh","given":"Illia Seldon","non-dropping-particle":"","parse-names":false,"suffix":""},{"dropping-particle":"","family":"Setyawati","given":"Intan Kartika","non-dropping-particle":"","parse-names":false,"suffix":""},{"dropping-particle":"","family":"Rahman","given":"Rena Yunita","non-dropping-particle":"","parse-names":false,"suffix":""}],"container-title":"IPB Press","id":"ITEM-1","issued":{"date-parts":[["2018"]]},"title":"Agribisnis Tembakau, Membuka Ruang Inovasi dan Bisnis untuk Kemajuan Industri","type":"chapter"},"uris":["http://www.mendeley.com/documents/?uuid=491eb04e-b92e-4ae2-958d-83112fe0f1e6"]}],"mendeley":{"formattedCitation":"(Zainuddin et al., 2018)","manualFormatting":"Zainuddin et al. (2018)","plainTextFormattedCitation":"(Zainuddin et al., 2018)","previouslyFormattedCitation":"(Zainuddin et al., 2018)"},"properties":{"noteIndex":0},"schema":"https://github.com/citation-style-language/schema/raw/master/csl-citation.json"}</w:instrText>
      </w:r>
      <w:r w:rsidRPr="00BE6EE7">
        <w:rPr>
          <w:rFonts w:ascii="Times New Roman" w:hAnsi="Times New Roman" w:cs="Times New Roman"/>
          <w:lang w:val="id-ID"/>
        </w:rPr>
        <w:fldChar w:fldCharType="separate"/>
      </w:r>
      <w:r w:rsidRPr="00BE6EE7">
        <w:rPr>
          <w:rFonts w:ascii="Times New Roman" w:hAnsi="Times New Roman" w:cs="Times New Roman"/>
          <w:noProof/>
          <w:lang w:val="id-ID"/>
        </w:rPr>
        <w:t xml:space="preserve">Zainuddin </w:t>
      </w:r>
      <w:r w:rsidRPr="00BE6EE7">
        <w:rPr>
          <w:rFonts w:ascii="Times New Roman" w:hAnsi="Times New Roman" w:cs="Times New Roman"/>
          <w:i/>
          <w:noProof/>
          <w:lang w:val="id-ID"/>
        </w:rPr>
        <w:t>et al</w:t>
      </w:r>
      <w:r w:rsidRPr="00BE6EE7">
        <w:rPr>
          <w:rFonts w:ascii="Times New Roman" w:hAnsi="Times New Roman" w:cs="Times New Roman"/>
          <w:noProof/>
          <w:lang w:val="id-ID"/>
        </w:rPr>
        <w:t>. (2018)</w:t>
      </w:r>
      <w:r w:rsidRPr="00BE6EE7">
        <w:rPr>
          <w:rFonts w:ascii="Times New Roman" w:hAnsi="Times New Roman" w:cs="Times New Roman"/>
          <w:lang w:val="id-ID"/>
        </w:rPr>
        <w:fldChar w:fldCharType="end"/>
      </w:r>
      <w:r w:rsidRPr="00BE6EE7">
        <w:rPr>
          <w:rFonts w:ascii="Times New Roman" w:hAnsi="Times New Roman" w:cs="Times New Roman"/>
          <w:lang w:val="id-ID"/>
        </w:rPr>
        <w:t xml:space="preserve">, </w:t>
      </w:r>
      <w:r w:rsidRPr="00BE6EE7">
        <w:rPr>
          <w:rFonts w:ascii="Times New Roman" w:eastAsia="Times New Roman" w:hAnsi="Times New Roman" w:cs="Times New Roman"/>
          <w:color w:val="000000"/>
        </w:rPr>
        <w:t>yakni terjadi peningkatan pangsa pasar dari komoditas tembakau Indonesia di Sri Lanka dari sebelum Covid-19 dan saat Covid-19.</w:t>
      </w:r>
    </w:p>
    <w:p w:rsidR="00F85700" w:rsidRPr="00BE6EE7" w:rsidRDefault="00F85700" w:rsidP="00CB146D">
      <w:pPr>
        <w:spacing w:after="0" w:line="240" w:lineRule="auto"/>
        <w:ind w:firstLine="567"/>
        <w:jc w:val="both"/>
        <w:rPr>
          <w:rFonts w:ascii="Times New Roman" w:eastAsia="Times New Roman" w:hAnsi="Times New Roman" w:cs="Times New Roman"/>
          <w:color w:val="000000"/>
        </w:rPr>
      </w:pPr>
      <w:r w:rsidRPr="00BE6EE7">
        <w:rPr>
          <w:rFonts w:ascii="Times New Roman" w:hAnsi="Times New Roman" w:cs="Times New Roman"/>
          <w:lang w:val="id-ID"/>
        </w:rPr>
        <w:t>S</w:t>
      </w:r>
      <w:r w:rsidRPr="00BE6EE7">
        <w:rPr>
          <w:rFonts w:ascii="Times New Roman" w:hAnsi="Times New Roman" w:cs="Times New Roman"/>
        </w:rPr>
        <w:t xml:space="preserve">ebelum pandemi Covid-19 pasar Indonesia  berada pada posisi </w:t>
      </w:r>
      <w:r w:rsidRPr="00BE6EE7">
        <w:rPr>
          <w:rFonts w:ascii="Times New Roman" w:hAnsi="Times New Roman" w:cs="Times New Roman"/>
          <w:i/>
        </w:rPr>
        <w:t xml:space="preserve">retreat, </w:t>
      </w:r>
      <w:r w:rsidRPr="00BE6EE7">
        <w:rPr>
          <w:rFonts w:ascii="Times New Roman" w:hAnsi="Times New Roman" w:cs="Times New Roman"/>
        </w:rPr>
        <w:t xml:space="preserve">di mana posisi ini mengindikasikan bahwa tembakau Indonesia tidak terlalu diinginkan oleh pasar, namun setelah pandemi Covid-19 posisi tembakau Indonesia meningkat dan berada di posisi </w:t>
      </w:r>
      <w:r w:rsidRPr="00BE6EE7">
        <w:rPr>
          <w:rFonts w:ascii="Times New Roman" w:hAnsi="Times New Roman" w:cs="Times New Roman"/>
          <w:i/>
        </w:rPr>
        <w:t>falling star</w:t>
      </w:r>
      <w:r w:rsidRPr="00BE6EE7">
        <w:rPr>
          <w:rFonts w:ascii="Times New Roman" w:hAnsi="Times New Roman" w:cs="Times New Roman"/>
        </w:rPr>
        <w:t>. Kondisi ini juga didukung oleh hasil analisis RCA di Belanda yang juga meningkat. Walaupun posisi pasar komoditas tembakau Indonesia belum berada pada posisi ideal, namun pasar yang mulai menyukai tembakau Indonesia merupakan kesempatan yang dapat digunakan untuk  meningkatkan kualitas  sesuai dengan keinginan pasar, sehingga nantinya pasar komoditas tembakau Indonesia di Jerman menjadi ideal. Hasil analisis ini tidak selaras dengan penelitian dari</w:t>
      </w:r>
      <w:r w:rsidRPr="00BE6EE7">
        <w:rPr>
          <w:rFonts w:ascii="Times New Roman" w:hAnsi="Times New Roman" w:cs="Times New Roman"/>
          <w:lang w:val="id-ID"/>
        </w:rPr>
        <w:t xml:space="preserve"> </w:t>
      </w:r>
      <w:r w:rsidRPr="00BE6EE7">
        <w:rPr>
          <w:rFonts w:ascii="Times New Roman" w:hAnsi="Times New Roman" w:cs="Times New Roman"/>
          <w:lang w:val="id-ID"/>
        </w:rPr>
        <w:fldChar w:fldCharType="begin" w:fldLock="1"/>
      </w:r>
      <w:r w:rsidRPr="00BE6EE7">
        <w:rPr>
          <w:rFonts w:ascii="Times New Roman" w:hAnsi="Times New Roman" w:cs="Times New Roman"/>
          <w:lang w:val="id-ID"/>
        </w:rPr>
        <w:instrText>ADDIN CSL_CITATION {"citationItems":[{"id":"ITEM-1","itemData":{"author":[{"dropping-particle":"","family":"Zainuddin","given":"Ahmad","non-dropping-particle":"","parse-names":false,"suffix":""},{"dropping-particle":"","family":"Magfiroh","given":"Illia Seldon","non-dropping-particle":"","parse-names":false,"suffix":""},{"dropping-particle":"","family":"Setyawati","given":"Intan Kartika","non-dropping-particle":"","parse-names":false,"suffix":""},{"dropping-particle":"","family":"Rahman","given":"Rena Yunita","non-dropping-particle":"","parse-names":false,"suffix":""}],"container-title":"IPB Press","id":"ITEM-1","issued":{"date-parts":[["2018"]]},"title":"Agribisnis Tembakau, Membuka Ruang Inovasi dan Bisnis untuk Kemajuan Industri","type":"chapter"},"uris":["http://www.mendeley.com/documents/?uuid=491eb04e-b92e-4ae2-958d-83112fe0f1e6"]}],"mendeley":{"formattedCitation":"(Zainuddin et al., 2018)","manualFormatting":"Zainuddin et al. (2018)","plainTextFormattedCitation":"(Zainuddin et al., 2018)","previouslyFormattedCitation":"(Zainuddin et al., 2018)"},"properties":{"noteIndex":0},"schema":"https://github.com/citation-style-language/schema/raw/master/csl-citation.json"}</w:instrText>
      </w:r>
      <w:r w:rsidRPr="00BE6EE7">
        <w:rPr>
          <w:rFonts w:ascii="Times New Roman" w:hAnsi="Times New Roman" w:cs="Times New Roman"/>
          <w:lang w:val="id-ID"/>
        </w:rPr>
        <w:fldChar w:fldCharType="separate"/>
      </w:r>
      <w:r w:rsidRPr="00BE6EE7">
        <w:rPr>
          <w:rFonts w:ascii="Times New Roman" w:hAnsi="Times New Roman" w:cs="Times New Roman"/>
          <w:noProof/>
          <w:lang w:val="id-ID"/>
        </w:rPr>
        <w:t xml:space="preserve">Zainuddin </w:t>
      </w:r>
      <w:r w:rsidRPr="00BE6EE7">
        <w:rPr>
          <w:rFonts w:ascii="Times New Roman" w:hAnsi="Times New Roman" w:cs="Times New Roman"/>
          <w:i/>
          <w:noProof/>
          <w:lang w:val="id-ID"/>
        </w:rPr>
        <w:t>et al</w:t>
      </w:r>
      <w:r w:rsidRPr="00BE6EE7">
        <w:rPr>
          <w:rFonts w:ascii="Times New Roman" w:hAnsi="Times New Roman" w:cs="Times New Roman"/>
          <w:noProof/>
          <w:lang w:val="id-ID"/>
        </w:rPr>
        <w:t>. (2018)</w:t>
      </w:r>
      <w:r w:rsidRPr="00BE6EE7">
        <w:rPr>
          <w:rFonts w:ascii="Times New Roman" w:hAnsi="Times New Roman" w:cs="Times New Roman"/>
          <w:lang w:val="id-ID"/>
        </w:rPr>
        <w:fldChar w:fldCharType="end"/>
      </w:r>
      <w:r w:rsidRPr="00BE6EE7">
        <w:rPr>
          <w:rFonts w:ascii="Times New Roman" w:hAnsi="Times New Roman" w:cs="Times New Roman"/>
          <w:lang w:val="id-ID"/>
        </w:rPr>
        <w:t xml:space="preserve">, </w:t>
      </w:r>
      <w:r w:rsidRPr="00BE6EE7">
        <w:rPr>
          <w:rFonts w:ascii="Times New Roman" w:eastAsia="Times New Roman" w:hAnsi="Times New Roman" w:cs="Times New Roman"/>
          <w:color w:val="000000"/>
        </w:rPr>
        <w:t xml:space="preserve">di mana pada penelitian tersebut posisi pasar tembakau Indonesia sebelum pandemi berasa di </w:t>
      </w:r>
      <w:r w:rsidRPr="00BE6EE7">
        <w:rPr>
          <w:rFonts w:ascii="Times New Roman" w:eastAsia="Times New Roman" w:hAnsi="Times New Roman" w:cs="Times New Roman"/>
          <w:i/>
          <w:color w:val="000000"/>
        </w:rPr>
        <w:t xml:space="preserve">rising star </w:t>
      </w:r>
      <w:r w:rsidRPr="00BE6EE7">
        <w:rPr>
          <w:rFonts w:ascii="Times New Roman" w:eastAsia="Times New Roman" w:hAnsi="Times New Roman" w:cs="Times New Roman"/>
          <w:color w:val="000000"/>
        </w:rPr>
        <w:t>yang berarti terjadi penurunan dari sebelum pandemi dan saat pandemi.</w:t>
      </w:r>
    </w:p>
    <w:p w:rsidR="00F85700" w:rsidRPr="00BE6EE7" w:rsidRDefault="00F85700" w:rsidP="00CB146D">
      <w:pPr>
        <w:spacing w:after="0" w:line="240" w:lineRule="auto"/>
        <w:ind w:firstLine="567"/>
        <w:jc w:val="both"/>
        <w:rPr>
          <w:rFonts w:ascii="Times New Roman" w:eastAsia="Times New Roman" w:hAnsi="Times New Roman" w:cs="Times New Roman"/>
          <w:i/>
          <w:color w:val="000000"/>
          <w:lang w:val="id-ID"/>
        </w:rPr>
      </w:pPr>
      <w:r w:rsidRPr="00BE6EE7">
        <w:rPr>
          <w:rFonts w:ascii="Times New Roman" w:hAnsi="Times New Roman" w:cs="Times New Roman"/>
          <w:lang w:val="id-ID"/>
        </w:rPr>
        <w:t>S</w:t>
      </w:r>
      <w:r w:rsidRPr="00BE6EE7">
        <w:rPr>
          <w:rFonts w:ascii="Times New Roman" w:hAnsi="Times New Roman" w:cs="Times New Roman"/>
        </w:rPr>
        <w:t xml:space="preserve">ebelum pandemi Covid-19 pasar tembakau Indonesia di Belanda berada di posisi </w:t>
      </w:r>
      <w:r w:rsidRPr="00BE6EE7">
        <w:rPr>
          <w:rFonts w:ascii="Times New Roman" w:hAnsi="Times New Roman" w:cs="Times New Roman"/>
          <w:i/>
        </w:rPr>
        <w:t xml:space="preserve">retreat, </w:t>
      </w:r>
      <w:r w:rsidRPr="00BE6EE7">
        <w:rPr>
          <w:rFonts w:ascii="Times New Roman" w:hAnsi="Times New Roman" w:cs="Times New Roman"/>
        </w:rPr>
        <w:t xml:space="preserve">yang artinya tembakau Indonesia ketika sebelum pandemi kurang diminati pasar. Adanya pandemi Covid-19 justru meningkatkan posisi tembakau Indonesia di pasar Belanda menjadi </w:t>
      </w:r>
      <w:r w:rsidRPr="00BE6EE7">
        <w:rPr>
          <w:rFonts w:ascii="Times New Roman" w:hAnsi="Times New Roman" w:cs="Times New Roman"/>
          <w:i/>
        </w:rPr>
        <w:t>lost opportunity</w:t>
      </w:r>
      <w:r w:rsidRPr="00BE6EE7">
        <w:rPr>
          <w:rFonts w:ascii="Times New Roman" w:hAnsi="Times New Roman" w:cs="Times New Roman"/>
        </w:rPr>
        <w:t xml:space="preserve">. Posisi </w:t>
      </w:r>
      <w:r w:rsidRPr="00BE6EE7">
        <w:rPr>
          <w:rFonts w:ascii="Times New Roman" w:hAnsi="Times New Roman" w:cs="Times New Roman"/>
          <w:i/>
        </w:rPr>
        <w:t xml:space="preserve">lost opportunity </w:t>
      </w:r>
      <w:r w:rsidRPr="00BE6EE7">
        <w:rPr>
          <w:rFonts w:ascii="Times New Roman" w:hAnsi="Times New Roman" w:cs="Times New Roman"/>
        </w:rPr>
        <w:t>menunjukkan bahwa Indonesia kehilangan kesempatan untuk mengembangkan pasar komoditas tembakau Indonesia di pasar Belanda, walaupun posisi pasar tembakau Indonesia di Belanda masih rendah, adanya peningkatan ini memberikan kesempatan Indonesia untuk terus meningkatkan kualitas tembakau Indonesia, sehingga pangsa pasar berada pada posisi ideal. Namun, hasil analisis ini tidak selaras dengan penelitian yang dilakukan oleh</w:t>
      </w:r>
      <w:r w:rsidRPr="00BE6EE7">
        <w:rPr>
          <w:rFonts w:ascii="Times New Roman" w:hAnsi="Times New Roman" w:cs="Times New Roman"/>
          <w:lang w:val="id-ID"/>
        </w:rPr>
        <w:t xml:space="preserve"> </w:t>
      </w:r>
      <w:r w:rsidRPr="00BE6EE7">
        <w:rPr>
          <w:rFonts w:ascii="Times New Roman" w:hAnsi="Times New Roman" w:cs="Times New Roman"/>
        </w:rPr>
        <w:fldChar w:fldCharType="begin" w:fldLock="1"/>
      </w:r>
      <w:r w:rsidRPr="00BE6EE7">
        <w:rPr>
          <w:rFonts w:ascii="Times New Roman" w:hAnsi="Times New Roman" w:cs="Times New Roman"/>
        </w:rPr>
        <w:instrText>ADDIN CSL_CITATION {"citationItems":[{"id":"ITEM-1","itemData":{"author":[{"dropping-particle":"","family":"Zainuddin","given":"Ahmad","non-dropping-particle":"","parse-names":false,"suffix":""},{"dropping-particle":"","family":"Magfiroh","given":"Illia Seldon","non-dropping-particle":"","parse-names":false,"suffix":""},{"dropping-particle":"","family":"Setyawati","given":"Intan Kartika","non-dropping-particle":"","parse-names":false,"suffix":""},{"dropping-particle":"","family":"Rahman","given":"Rena Yunita","non-dropping-particle":"","parse-names":false,"suffix":""}],"container-title":"IPB Press","id":"ITEM-1","issued":{"date-parts":[["2018"]]},"title":"Agribisnis Tembakau, Membuka Ruang Inovasi dan Bisnis untuk Kemajuan Industri","type":"chapter"},"uris":["http://www.mendeley.com/documents/?uuid=491eb04e-b92e-4ae2-958d-83112fe0f1e6"]}],"mendeley":{"formattedCitation":"(Zainuddin et al., 2018)","manualFormatting":"Zainuddin et al. (2018)","plainTextFormattedCitation":"(Zainuddin et al., 2018)","previouslyFormattedCitation":"(Zainuddin et al., 2018)"},"properties":{"noteIndex":0},"schema":"https://github.com/citation-style-language/schema/raw/master/csl-citation.json"}</w:instrText>
      </w:r>
      <w:r w:rsidRPr="00BE6EE7">
        <w:rPr>
          <w:rFonts w:ascii="Times New Roman" w:hAnsi="Times New Roman" w:cs="Times New Roman"/>
        </w:rPr>
        <w:fldChar w:fldCharType="separate"/>
      </w:r>
      <w:r w:rsidRPr="00BE6EE7">
        <w:rPr>
          <w:rFonts w:ascii="Times New Roman" w:hAnsi="Times New Roman" w:cs="Times New Roman"/>
          <w:noProof/>
        </w:rPr>
        <w:t xml:space="preserve">Zainuddin </w:t>
      </w:r>
      <w:r w:rsidRPr="00BE6EE7">
        <w:rPr>
          <w:rFonts w:ascii="Times New Roman" w:hAnsi="Times New Roman" w:cs="Times New Roman"/>
          <w:i/>
          <w:noProof/>
        </w:rPr>
        <w:t>et al.</w:t>
      </w:r>
      <w:r w:rsidRPr="00BE6EE7">
        <w:rPr>
          <w:rFonts w:ascii="Times New Roman" w:hAnsi="Times New Roman" w:cs="Times New Roman"/>
          <w:noProof/>
        </w:rPr>
        <w:t xml:space="preserve"> </w:t>
      </w:r>
      <w:r w:rsidRPr="00BE6EE7">
        <w:rPr>
          <w:rFonts w:ascii="Times New Roman" w:hAnsi="Times New Roman" w:cs="Times New Roman"/>
          <w:noProof/>
          <w:lang w:val="id-ID"/>
        </w:rPr>
        <w:t>(</w:t>
      </w:r>
      <w:r w:rsidRPr="00BE6EE7">
        <w:rPr>
          <w:rFonts w:ascii="Times New Roman" w:hAnsi="Times New Roman" w:cs="Times New Roman"/>
          <w:noProof/>
        </w:rPr>
        <w:t>2018)</w:t>
      </w:r>
      <w:r w:rsidRPr="00BE6EE7">
        <w:rPr>
          <w:rFonts w:ascii="Times New Roman" w:hAnsi="Times New Roman" w:cs="Times New Roman"/>
        </w:rPr>
        <w:fldChar w:fldCharType="end"/>
      </w:r>
      <w:r w:rsidRPr="00BE6EE7">
        <w:rPr>
          <w:rFonts w:ascii="Times New Roman" w:hAnsi="Times New Roman" w:cs="Times New Roman"/>
          <w:lang w:val="id-ID"/>
        </w:rPr>
        <w:t xml:space="preserve">, </w:t>
      </w:r>
      <w:r w:rsidRPr="00BE6EE7">
        <w:rPr>
          <w:rFonts w:ascii="Times New Roman" w:eastAsia="Times New Roman" w:hAnsi="Times New Roman" w:cs="Times New Roman"/>
          <w:color w:val="000000"/>
        </w:rPr>
        <w:t xml:space="preserve">yang </w:t>
      </w:r>
      <w:r w:rsidRPr="00BE6EE7">
        <w:rPr>
          <w:rFonts w:ascii="Times New Roman" w:eastAsia="Times New Roman" w:hAnsi="Times New Roman" w:cs="Times New Roman"/>
          <w:color w:val="000000"/>
        </w:rPr>
        <w:lastRenderedPageBreak/>
        <w:t xml:space="preserve">menunjukkan penurunan dari sebelum Covid-19 dan setelah Covid-19. Sebelum pandemi Covid-19 pangsa pasar komoditas tembakau Indonesia berada pada posisi </w:t>
      </w:r>
      <w:r w:rsidRPr="00BE6EE7">
        <w:rPr>
          <w:rFonts w:ascii="Times New Roman" w:eastAsia="Times New Roman" w:hAnsi="Times New Roman" w:cs="Times New Roman"/>
          <w:i/>
          <w:color w:val="000000"/>
        </w:rPr>
        <w:t>falling star</w:t>
      </w:r>
      <w:r w:rsidRPr="00BE6EE7">
        <w:rPr>
          <w:rFonts w:ascii="Times New Roman" w:eastAsia="Times New Roman" w:hAnsi="Times New Roman" w:cs="Times New Roman"/>
          <w:color w:val="000000"/>
        </w:rPr>
        <w:t xml:space="preserve"> dan setelah pandemi menjadi </w:t>
      </w:r>
      <w:r w:rsidRPr="00BE6EE7">
        <w:rPr>
          <w:rFonts w:ascii="Times New Roman" w:eastAsia="Times New Roman" w:hAnsi="Times New Roman" w:cs="Times New Roman"/>
          <w:i/>
          <w:color w:val="000000"/>
        </w:rPr>
        <w:t>lost opportunity</w:t>
      </w:r>
      <w:r w:rsidRPr="00BE6EE7">
        <w:rPr>
          <w:rFonts w:ascii="Times New Roman" w:eastAsia="Times New Roman" w:hAnsi="Times New Roman" w:cs="Times New Roman"/>
          <w:i/>
          <w:color w:val="000000"/>
          <w:lang w:val="id-ID"/>
        </w:rPr>
        <w:t>.</w:t>
      </w:r>
    </w:p>
    <w:p w:rsidR="003C6818" w:rsidRDefault="00F85700" w:rsidP="00CB146D">
      <w:pPr>
        <w:spacing w:after="0" w:line="240" w:lineRule="auto"/>
        <w:ind w:firstLine="567"/>
        <w:jc w:val="both"/>
        <w:rPr>
          <w:rFonts w:ascii="Times New Roman" w:eastAsia="Times New Roman" w:hAnsi="Times New Roman" w:cs="Times New Roman"/>
          <w:color w:val="000000"/>
        </w:rPr>
      </w:pPr>
      <w:r w:rsidRPr="00BE6EE7">
        <w:rPr>
          <w:rFonts w:ascii="Times New Roman" w:hAnsi="Times New Roman" w:cs="Times New Roman"/>
        </w:rPr>
        <w:t xml:space="preserve">Analisis EPD yang dilakukan pada Amerika Serikat menunjukkan penurunan setelah pandemi Covid-19. Posisi pasar tembakau Indonesia sebelum pandemi berada di </w:t>
      </w:r>
      <w:r w:rsidRPr="00BE6EE7">
        <w:rPr>
          <w:rFonts w:ascii="Times New Roman" w:hAnsi="Times New Roman" w:cs="Times New Roman"/>
          <w:i/>
        </w:rPr>
        <w:t xml:space="preserve">rising star </w:t>
      </w:r>
      <w:r w:rsidRPr="00BE6EE7">
        <w:rPr>
          <w:rFonts w:ascii="Times New Roman" w:hAnsi="Times New Roman" w:cs="Times New Roman"/>
        </w:rPr>
        <w:t xml:space="preserve">yang artinya tembakau Indonesia dapat diterima oleh pasar. Akan tetapi, setelah pandemi Covid-19 posisi pasar tembakau Indonesia menurun menjadi </w:t>
      </w:r>
      <w:r w:rsidRPr="00BE6EE7">
        <w:rPr>
          <w:rFonts w:ascii="Times New Roman" w:hAnsi="Times New Roman" w:cs="Times New Roman"/>
          <w:i/>
        </w:rPr>
        <w:t xml:space="preserve">lost opportunity </w:t>
      </w:r>
      <w:r w:rsidRPr="00BE6EE7">
        <w:rPr>
          <w:rFonts w:ascii="Times New Roman" w:hAnsi="Times New Roman" w:cs="Times New Roman"/>
        </w:rPr>
        <w:t>atau kehilangan kesempatan untuk mengembangkan pasar tembakau di Amerika Serikat. Kondisi ini dipengaruhi oleh peningkatan ekspor tembakau Indonesia selama pandemi sangat jauh dari jumlah penurunan nilai ekspor tembakau dunia ke Amerika Serikat. Kondisi ini perlu diperhatikan dengan cara meningkatkan standar sesuai dengan keinginan pasar, sehingga Indonesia tidak kehilangan pangsa pasar tembakau lebih besar lagi. Hasil analisis EPD pada Amerika Serikat selaras dengan penelitian  yang dilakukan oleh</w:t>
      </w:r>
      <w:r w:rsidRPr="00BE6EE7">
        <w:rPr>
          <w:rFonts w:ascii="Times New Roman" w:hAnsi="Times New Roman" w:cs="Times New Roman"/>
          <w:lang w:val="id-ID"/>
        </w:rPr>
        <w:t xml:space="preserve"> </w:t>
      </w:r>
      <w:r w:rsidRPr="00BE6EE7">
        <w:rPr>
          <w:rFonts w:ascii="Times New Roman" w:hAnsi="Times New Roman" w:cs="Times New Roman"/>
          <w:lang w:val="id-ID"/>
        </w:rPr>
        <w:fldChar w:fldCharType="begin" w:fldLock="1"/>
      </w:r>
      <w:r w:rsidRPr="00BE6EE7">
        <w:rPr>
          <w:rFonts w:ascii="Times New Roman" w:hAnsi="Times New Roman" w:cs="Times New Roman"/>
          <w:lang w:val="id-ID"/>
        </w:rPr>
        <w:instrText>ADDIN CSL_CITATION {"citationItems":[{"id":"ITEM-1","itemData":{"author":[{"dropping-particle":"","family":"Zainuddin","given":"Ahmad","non-dropping-particle":"","parse-names":false,"suffix":""},{"dropping-particle":"","family":"Magfiroh","given":"Illia Seldon","non-dropping-particle":"","parse-names":false,"suffix":""},{"dropping-particle":"","family":"Setyawati","given":"Intan Kartika","non-dropping-particle":"","parse-names":false,"suffix":""},{"dropping-particle":"","family":"Rahman","given":"Rena Yunita","non-dropping-particle":"","parse-names":false,"suffix":""}],"container-title":"IPB Press","id":"ITEM-1","issued":{"date-parts":[["2018"]]},"title":"Agribisnis Tembakau, Membuka Ruang Inovasi dan Bisnis untuk Kemajuan Industri","type":"chapter"},"uris":["http://www.mendeley.com/documents/?uuid=491eb04e-b92e-4ae2-958d-83112fe0f1e6"]}],"mendeley":{"formattedCitation":"(Zainuddin et al., 2018)","manualFormatting":"Zainuddin et al. (2018)","plainTextFormattedCitation":"(Zainuddin et al., 2018)","previouslyFormattedCitation":"(Zainuddin et al., 2018)"},"properties":{"noteIndex":0},"schema":"https://github.com/citation-style-language/schema/raw/master/csl-citation.json"}</w:instrText>
      </w:r>
      <w:r w:rsidRPr="00BE6EE7">
        <w:rPr>
          <w:rFonts w:ascii="Times New Roman" w:hAnsi="Times New Roman" w:cs="Times New Roman"/>
          <w:lang w:val="id-ID"/>
        </w:rPr>
        <w:fldChar w:fldCharType="separate"/>
      </w:r>
      <w:r w:rsidRPr="00BE6EE7">
        <w:rPr>
          <w:rFonts w:ascii="Times New Roman" w:hAnsi="Times New Roman" w:cs="Times New Roman"/>
          <w:noProof/>
          <w:lang w:val="id-ID"/>
        </w:rPr>
        <w:t xml:space="preserve">Zainuddin </w:t>
      </w:r>
      <w:r w:rsidRPr="00BE6EE7">
        <w:rPr>
          <w:rFonts w:ascii="Times New Roman" w:hAnsi="Times New Roman" w:cs="Times New Roman"/>
          <w:i/>
          <w:noProof/>
          <w:lang w:val="id-ID"/>
        </w:rPr>
        <w:t>et al.</w:t>
      </w:r>
      <w:r w:rsidRPr="00BE6EE7">
        <w:rPr>
          <w:rFonts w:ascii="Times New Roman" w:hAnsi="Times New Roman" w:cs="Times New Roman"/>
          <w:noProof/>
          <w:lang w:val="id-ID"/>
        </w:rPr>
        <w:t xml:space="preserve"> (2018)</w:t>
      </w:r>
      <w:r w:rsidRPr="00BE6EE7">
        <w:rPr>
          <w:rFonts w:ascii="Times New Roman" w:hAnsi="Times New Roman" w:cs="Times New Roman"/>
          <w:lang w:val="id-ID"/>
        </w:rPr>
        <w:fldChar w:fldCharType="end"/>
      </w:r>
      <w:r w:rsidRPr="00BE6EE7">
        <w:rPr>
          <w:rFonts w:ascii="Times New Roman" w:hAnsi="Times New Roman" w:cs="Times New Roman"/>
          <w:lang w:val="id-ID"/>
        </w:rPr>
        <w:t>,</w:t>
      </w:r>
      <w:r w:rsidRPr="00BE6EE7">
        <w:rPr>
          <w:rFonts w:ascii="Times New Roman" w:hAnsi="Times New Roman" w:cs="Times New Roman"/>
        </w:rPr>
        <w:t xml:space="preserve"> </w:t>
      </w:r>
      <w:r w:rsidRPr="00BE6EE7">
        <w:rPr>
          <w:rFonts w:ascii="Times New Roman" w:eastAsia="Times New Roman" w:hAnsi="Times New Roman" w:cs="Times New Roman"/>
          <w:color w:val="000000"/>
        </w:rPr>
        <w:t>yakni adanya pandemi Covid-19 menurunkan posisi pasar tembakau Indonesia di pasar Amerika Serikat</w:t>
      </w:r>
      <w:r w:rsidR="003C6818" w:rsidRPr="00BE6EE7">
        <w:rPr>
          <w:rFonts w:ascii="Times New Roman" w:eastAsia="Times New Roman" w:hAnsi="Times New Roman" w:cs="Times New Roman"/>
          <w:color w:val="000000"/>
        </w:rPr>
        <w:t>.</w:t>
      </w:r>
    </w:p>
    <w:p w:rsidR="00E94BDF" w:rsidRDefault="00E94BDF" w:rsidP="00CB146D">
      <w:pPr>
        <w:spacing w:after="0" w:line="240" w:lineRule="auto"/>
        <w:jc w:val="both"/>
        <w:rPr>
          <w:rFonts w:ascii="Times New Roman" w:hAnsi="Times New Roman" w:cs="Times New Roman"/>
          <w:color w:val="000000"/>
          <w:lang w:val="id-ID"/>
        </w:rPr>
      </w:pPr>
    </w:p>
    <w:p w:rsidR="00B44F42" w:rsidRDefault="00E94BDF" w:rsidP="00CB146D">
      <w:pPr>
        <w:spacing w:after="0" w:line="240" w:lineRule="auto"/>
        <w:jc w:val="both"/>
        <w:rPr>
          <w:rFonts w:ascii="Times New Roman" w:hAnsi="Times New Roman" w:cs="Times New Roman"/>
          <w:b/>
          <w:color w:val="000000"/>
          <w:lang w:val="id-ID"/>
        </w:rPr>
      </w:pPr>
      <w:r>
        <w:rPr>
          <w:rFonts w:ascii="Times New Roman" w:hAnsi="Times New Roman" w:cs="Times New Roman"/>
          <w:b/>
          <w:color w:val="000000"/>
          <w:lang w:val="id-ID"/>
        </w:rPr>
        <w:t>Daya Sai</w:t>
      </w:r>
      <w:r w:rsidR="00014BE1">
        <w:rPr>
          <w:rFonts w:ascii="Times New Roman" w:hAnsi="Times New Roman" w:cs="Times New Roman"/>
          <w:b/>
          <w:color w:val="000000"/>
          <w:lang w:val="id-ID"/>
        </w:rPr>
        <w:t>ng Ekspor Komoditas Tembakau Indonesia di Negara Tujuan Utama</w:t>
      </w:r>
    </w:p>
    <w:p w:rsidR="004720CE" w:rsidRDefault="004720CE" w:rsidP="00CB146D">
      <w:pPr>
        <w:spacing w:after="0" w:line="240" w:lineRule="auto"/>
        <w:jc w:val="both"/>
        <w:rPr>
          <w:rFonts w:ascii="Times New Roman" w:hAnsi="Times New Roman" w:cs="Times New Roman"/>
          <w:b/>
          <w:color w:val="000000"/>
          <w:lang w:val="id-ID"/>
        </w:rPr>
      </w:pPr>
    </w:p>
    <w:p w:rsidR="00014BE1" w:rsidRPr="00014BE1" w:rsidRDefault="00014BE1" w:rsidP="00CB146D">
      <w:pPr>
        <w:spacing w:after="0" w:line="240" w:lineRule="auto"/>
        <w:ind w:firstLine="567"/>
        <w:jc w:val="both"/>
        <w:rPr>
          <w:rFonts w:ascii="Times New Roman" w:hAnsi="Times New Roman" w:cs="Times New Roman"/>
          <w:color w:val="000000" w:themeColor="text1"/>
        </w:rPr>
      </w:pPr>
      <w:r w:rsidRPr="00014BE1">
        <w:rPr>
          <w:rFonts w:ascii="Times New Roman" w:hAnsi="Times New Roman" w:cs="Times New Roman"/>
          <w:color w:val="000000" w:themeColor="text1"/>
        </w:rPr>
        <w:t>Daya saing ekspor komoditas tembakau dapat dilakukan dengan menggunakan beberapa alat analisis,</w:t>
      </w:r>
      <w:r w:rsidR="00D15064">
        <w:rPr>
          <w:rFonts w:ascii="Times New Roman" w:hAnsi="Times New Roman" w:cs="Times New Roman"/>
          <w:color w:val="000000" w:themeColor="text1"/>
        </w:rPr>
        <w:t xml:space="preserve"> beberapa diantaranya ialah IIT, </w:t>
      </w:r>
      <w:r w:rsidRPr="00014BE1">
        <w:rPr>
          <w:rFonts w:ascii="Times New Roman" w:hAnsi="Times New Roman" w:cs="Times New Roman"/>
          <w:color w:val="000000" w:themeColor="text1"/>
        </w:rPr>
        <w:t>RCA (</w:t>
      </w:r>
      <w:r w:rsidRPr="00014BE1">
        <w:rPr>
          <w:rFonts w:ascii="Times New Roman" w:hAnsi="Times New Roman" w:cs="Times New Roman"/>
          <w:i/>
          <w:color w:val="000000" w:themeColor="text1"/>
        </w:rPr>
        <w:t>Revealed Comparative Advantage</w:t>
      </w:r>
      <w:r w:rsidRPr="00014BE1">
        <w:rPr>
          <w:rFonts w:ascii="Times New Roman" w:hAnsi="Times New Roman" w:cs="Times New Roman"/>
          <w:color w:val="000000" w:themeColor="text1"/>
        </w:rPr>
        <w:t>), dan EPD (</w:t>
      </w:r>
      <w:r w:rsidRPr="00014BE1">
        <w:rPr>
          <w:rFonts w:ascii="Times New Roman" w:hAnsi="Times New Roman" w:cs="Times New Roman"/>
          <w:i/>
          <w:color w:val="000000" w:themeColor="text1"/>
        </w:rPr>
        <w:t>Export Product Dynamic</w:t>
      </w:r>
      <w:r w:rsidRPr="00014BE1">
        <w:rPr>
          <w:rFonts w:ascii="Times New Roman" w:hAnsi="Times New Roman" w:cs="Times New Roman"/>
          <w:color w:val="000000" w:themeColor="text1"/>
        </w:rPr>
        <w:t>). IIT adalah indeks integrasi perdagangan komoditas tembakau dengan negara lain yang melakukan perdagangan komoditas yang sejenis. RCA merupakan metode pengukuran kinerja ekspor komoditas tembakau dengan melihat keunggulan komparatif dari komoditas tembakau Indonesia. EPD adalah metode pengukuran dinamika posisi ekspor tembakau Indonesia dengan menggunakan pertumbuhan permintaan tembakau Indonesia dan pertumbsuhan pangsa pasar/</w:t>
      </w:r>
      <w:r w:rsidRPr="00014BE1">
        <w:rPr>
          <w:rFonts w:ascii="Times New Roman" w:hAnsi="Times New Roman" w:cs="Times New Roman"/>
          <w:i/>
          <w:color w:val="000000" w:themeColor="text1"/>
        </w:rPr>
        <w:t xml:space="preserve">market share </w:t>
      </w:r>
      <w:r w:rsidRPr="00014BE1">
        <w:rPr>
          <w:rFonts w:ascii="Times New Roman" w:hAnsi="Times New Roman" w:cs="Times New Roman"/>
          <w:color w:val="000000" w:themeColor="text1"/>
        </w:rPr>
        <w:t>tembakau Indonesia</w:t>
      </w:r>
    </w:p>
    <w:p w:rsidR="002D3BB0" w:rsidRDefault="00014BE1" w:rsidP="00CB146D">
      <w:pPr>
        <w:spacing w:after="0" w:line="240" w:lineRule="auto"/>
        <w:ind w:firstLine="567"/>
        <w:jc w:val="both"/>
        <w:rPr>
          <w:rFonts w:ascii="Times New Roman" w:hAnsi="Times New Roman" w:cs="Times New Roman"/>
          <w:color w:val="000000" w:themeColor="text1"/>
        </w:rPr>
      </w:pPr>
      <w:r w:rsidRPr="00014BE1">
        <w:rPr>
          <w:rFonts w:ascii="Times New Roman" w:hAnsi="Times New Roman" w:cs="Times New Roman"/>
          <w:color w:val="000000" w:themeColor="text1"/>
        </w:rPr>
        <w:t xml:space="preserve">Berdasarkan </w:t>
      </w:r>
      <w:r w:rsidR="00E74D8E">
        <w:rPr>
          <w:rFonts w:ascii="Times New Roman" w:hAnsi="Times New Roman" w:cs="Times New Roman"/>
          <w:color w:val="000000" w:themeColor="text1"/>
          <w:lang w:val="id-ID"/>
        </w:rPr>
        <w:t xml:space="preserve">hasil </w:t>
      </w:r>
      <w:r w:rsidRPr="00014BE1">
        <w:rPr>
          <w:rFonts w:ascii="Times New Roman" w:hAnsi="Times New Roman" w:cs="Times New Roman"/>
          <w:color w:val="000000" w:themeColor="text1"/>
        </w:rPr>
        <w:t xml:space="preserve">analisis daya saing </w:t>
      </w:r>
      <w:r w:rsidR="00E74D8E">
        <w:rPr>
          <w:rFonts w:ascii="Times New Roman" w:hAnsi="Times New Roman" w:cs="Times New Roman"/>
          <w:color w:val="000000" w:themeColor="text1"/>
          <w:lang w:val="id-ID"/>
        </w:rPr>
        <w:t xml:space="preserve">komoditas tembakau Indonesia </w:t>
      </w:r>
      <w:r w:rsidRPr="00014BE1">
        <w:rPr>
          <w:rFonts w:ascii="Times New Roman" w:hAnsi="Times New Roman" w:cs="Times New Roman"/>
          <w:color w:val="000000" w:themeColor="text1"/>
        </w:rPr>
        <w:t>yang telah dilakukan menunjukkan bahwa beberapa hasil dalam analisis IIT, RCA, EPD memiliki hasil yang sedikit berbeda, hal ini dikarenakan analisis IIT melihat indeks integrasi atau keeratan hubungan</w:t>
      </w:r>
      <w:r w:rsidRPr="00014BE1">
        <w:rPr>
          <w:rFonts w:ascii="Times New Roman" w:hAnsi="Times New Roman" w:cs="Times New Roman"/>
          <w:color w:val="000000" w:themeColor="text1"/>
          <w:lang w:val="id-ID"/>
        </w:rPr>
        <w:t xml:space="preserve"> </w:t>
      </w:r>
      <w:r w:rsidRPr="00014BE1">
        <w:rPr>
          <w:rFonts w:ascii="Times New Roman" w:hAnsi="Times New Roman" w:cs="Times New Roman"/>
          <w:color w:val="000000" w:themeColor="text1"/>
        </w:rPr>
        <w:t xml:space="preserve">timbal balik antar negara yang bersangkutan, sehingga keeratan hubungan antar negara tersebut dipengaruhi oleh permintaan dan penawaran dari negara itu sendiri.  Pendapat ini didukung oleh penelitian yang dilakukan oleh </w:t>
      </w:r>
      <w:r w:rsidRPr="00014BE1">
        <w:rPr>
          <w:rFonts w:ascii="Times New Roman" w:hAnsi="Times New Roman" w:cs="Times New Roman"/>
          <w:color w:val="000000" w:themeColor="text1"/>
        </w:rPr>
        <w:fldChar w:fldCharType="begin" w:fldLock="1"/>
      </w:r>
      <w:r w:rsidRPr="00014BE1">
        <w:rPr>
          <w:rFonts w:ascii="Times New Roman" w:hAnsi="Times New Roman" w:cs="Times New Roman"/>
          <w:color w:val="000000" w:themeColor="text1"/>
        </w:rPr>
        <w:instrText>ADDIN CSL_CITATION {"citationItems":[{"id":"ITEM-1","itemData":{"author":[{"dropping-particle":"","family":"Putri","given":"Rahma Meiliza","non-dropping-particle":"","parse-names":false,"suffix":""},{"dropping-particle":"","family":"Rifin","given":"Amzul","non-dropping-particle":"","parse-names":false,"suffix":""},{"dropping-particle":"","family":"Erwidodo","given":"","non-dropping-particle":"","parse-names":false,"suffix":""}],"container-title":"Buletin Ilmiah Litbang Perdagangan","id":"ITEM-1","issue":"2","issued":{"date-parts":[["2021"]]},"page":"181-208","title":"Analisis Perdagangan Intra Industri Regional Comprehensive Economic Partnership (RCEP) pada Produk Pertanian","type":"article-journal","volume":"15"},"uris":["http://www.mendeley.com/documents/?uuid=e7970bf6-9d2d-47b2-8994-80ac1ea6dbd6"]}],"mendeley":{"formattedCitation":"(Putri, Rifin, &amp; Erwidodo, 2021)","manualFormatting":"Putri et al. (2021)","plainTextFormattedCitation":"(Putri, Rifin, &amp; Erwidodo, 2021)","previouslyFormattedCitation":"(Putri, Rifin, &amp; Erwidodo, 2021)"},"properties":{"noteIndex":0},"schema":"https://github.com/citation-style-language/schema/raw/master/csl-citation.json"}</w:instrText>
      </w:r>
      <w:r w:rsidRPr="00014BE1">
        <w:rPr>
          <w:rFonts w:ascii="Times New Roman" w:hAnsi="Times New Roman" w:cs="Times New Roman"/>
          <w:color w:val="000000" w:themeColor="text1"/>
        </w:rPr>
        <w:fldChar w:fldCharType="separate"/>
      </w:r>
      <w:r w:rsidRPr="00014BE1">
        <w:rPr>
          <w:rFonts w:ascii="Times New Roman" w:hAnsi="Times New Roman" w:cs="Times New Roman"/>
          <w:noProof/>
          <w:color w:val="000000" w:themeColor="text1"/>
        </w:rPr>
        <w:t xml:space="preserve">Putri </w:t>
      </w:r>
      <w:r w:rsidRPr="00014BE1">
        <w:rPr>
          <w:rFonts w:ascii="Times New Roman" w:hAnsi="Times New Roman" w:cs="Times New Roman"/>
          <w:i/>
          <w:noProof/>
          <w:color w:val="000000" w:themeColor="text1"/>
        </w:rPr>
        <w:t>et al.</w:t>
      </w:r>
      <w:r w:rsidRPr="00014BE1">
        <w:rPr>
          <w:rFonts w:ascii="Times New Roman" w:hAnsi="Times New Roman" w:cs="Times New Roman"/>
          <w:noProof/>
          <w:color w:val="000000" w:themeColor="text1"/>
        </w:rPr>
        <w:t xml:space="preserve"> (2021)</w:t>
      </w:r>
      <w:r w:rsidRPr="00014BE1">
        <w:rPr>
          <w:rFonts w:ascii="Times New Roman" w:hAnsi="Times New Roman" w:cs="Times New Roman"/>
          <w:color w:val="000000" w:themeColor="text1"/>
        </w:rPr>
        <w:fldChar w:fldCharType="end"/>
      </w:r>
      <w:r w:rsidRPr="00014BE1">
        <w:rPr>
          <w:rFonts w:ascii="Times New Roman" w:hAnsi="Times New Roman" w:cs="Times New Roman"/>
          <w:color w:val="000000" w:themeColor="text1"/>
        </w:rPr>
        <w:t xml:space="preserve"> yang menyatakan bahwa tingkat indeks IIT menunjukkan besaran ekspor dan impor suatu komoditas yang sama pada negara yang melakukan perdagangan. Hasil analisis RCA dan EPD juga beberapa terdapat perbedaan, yakni pada negara Sri Lanka, Belanda, dan Amerika Serikat, hal ini dikarenakan analisis RCA berfokus pada keunggulan komparatif pada komoditas tembakau Indonesia, sedangkan EPD berfokus pada pangsa pasar dan pangsa tembakau Indonesia di negara tujuan utama dibandingkan dengan dunia.</w:t>
      </w:r>
      <w:r w:rsidRPr="00014BE1">
        <w:rPr>
          <w:rFonts w:ascii="Times New Roman" w:hAnsi="Times New Roman" w:cs="Times New Roman"/>
          <w:color w:val="000000" w:themeColor="text1"/>
          <w:lang w:val="id-ID"/>
        </w:rPr>
        <w:t xml:space="preserve"> Pada negara Sri Lanka terjadi perbedaan dikarenakan terjadi penurunan pangsa komoditas tembakau di negara Sri Lanka namun pangsa pasar Indonesia di negara Sri Lanka mengalami peningkatan, kondisi ini juga terjadi pada negara Belanda dan Belgia. </w:t>
      </w:r>
      <w:r w:rsidRPr="00014BE1">
        <w:rPr>
          <w:rFonts w:ascii="Times New Roman" w:hAnsi="Times New Roman" w:cs="Times New Roman"/>
          <w:color w:val="000000" w:themeColor="text1"/>
        </w:rPr>
        <w:t>P</w:t>
      </w:r>
      <w:r w:rsidR="00E74D8E">
        <w:rPr>
          <w:rFonts w:ascii="Times New Roman" w:hAnsi="Times New Roman" w:cs="Times New Roman"/>
          <w:color w:val="000000" w:themeColor="text1"/>
        </w:rPr>
        <w:t>ada Amerika Serikat walaupun eks</w:t>
      </w:r>
      <w:r w:rsidRPr="00014BE1">
        <w:rPr>
          <w:rFonts w:ascii="Times New Roman" w:hAnsi="Times New Roman" w:cs="Times New Roman"/>
          <w:color w:val="000000" w:themeColor="text1"/>
        </w:rPr>
        <w:t xml:space="preserve">por tembakau dan total ekspor Indonesia mengalami peningkatan, ekspor tembakau dunia ke Amerika Serikat menurun secara drastis, yakni sekitar 35,56% dari sebelum Covid-19. Hal tersebut kemudian turut mempengaruhi hasil dari analisis EPD tembakau Indonesia. Pendapat ini didukung </w:t>
      </w:r>
      <w:r w:rsidR="00E74D8E">
        <w:rPr>
          <w:rFonts w:ascii="Times New Roman" w:hAnsi="Times New Roman" w:cs="Times New Roman"/>
          <w:color w:val="000000" w:themeColor="text1"/>
          <w:lang w:val="id-ID"/>
        </w:rPr>
        <w:t xml:space="preserve">oleh </w:t>
      </w:r>
      <w:r w:rsidRPr="00014BE1">
        <w:rPr>
          <w:rFonts w:ascii="Times New Roman" w:hAnsi="Times New Roman" w:cs="Times New Roman"/>
          <w:color w:val="000000" w:themeColor="text1"/>
        </w:rPr>
        <w:t xml:space="preserve">penelitian yang dilakukan oleh </w:t>
      </w:r>
      <w:r w:rsidRPr="00014BE1">
        <w:rPr>
          <w:rFonts w:ascii="Times New Roman" w:hAnsi="Times New Roman" w:cs="Times New Roman"/>
          <w:color w:val="000000" w:themeColor="text1"/>
        </w:rPr>
        <w:fldChar w:fldCharType="begin" w:fldLock="1"/>
      </w:r>
      <w:r w:rsidRPr="00014BE1">
        <w:rPr>
          <w:rFonts w:ascii="Times New Roman" w:hAnsi="Times New Roman" w:cs="Times New Roman"/>
          <w:color w:val="000000" w:themeColor="text1"/>
        </w:rPr>
        <w:instrText>ADDIN CSL_CITATION {"citationItems":[{"id":"ITEM-1","itemData":{"author":[{"dropping-particle":"","family":"Megagita","given":"Ni Desak Gede Putri","non-dropping-particle":"","parse-names":false,"suffix":""},{"dropping-particle":"","family":"Abidin","given":"Zainal","non-dropping-particle":"","parse-names":false,"suffix":""},{"dropping-particle":"","family":"Murniati","given":"Ketut","non-dropping-particle":"","parse-names":false,"suffix":""}],"container-title":"Journal of Food System and Agribusiness","id":"ITEM-1","issue":"2","issued":{"date-parts":[["2021"]]},"page":"178-183","title":"Competitiveness of Indonesia’s Turmeric Commodity in International Market : Using RCA and EPD Approaches","type":"article-journal","volume":"5"},"uris":["http://www.mendeley.com/documents/?uuid=586d9ba8-8edd-472b-a1f0-eaca5796aad5"]}],"mendeley":{"formattedCitation":"(Megagita, Abidin, &amp; Murniati, 2021)","manualFormatting":"Megagita et al. (2021)","plainTextFormattedCitation":"(Megagita, Abidin, &amp; Murniati, 2021)","previouslyFormattedCitation":"(Megagita, Abidin, &amp; Murniati, 2021)"},"properties":{"noteIndex":0},"schema":"https://github.com/citation-style-language/schema/raw/master/csl-citation.json"}</w:instrText>
      </w:r>
      <w:r w:rsidRPr="00014BE1">
        <w:rPr>
          <w:rFonts w:ascii="Times New Roman" w:hAnsi="Times New Roman" w:cs="Times New Roman"/>
          <w:color w:val="000000" w:themeColor="text1"/>
        </w:rPr>
        <w:fldChar w:fldCharType="separate"/>
      </w:r>
      <w:r w:rsidRPr="00014BE1">
        <w:rPr>
          <w:rFonts w:ascii="Times New Roman" w:hAnsi="Times New Roman" w:cs="Times New Roman"/>
          <w:noProof/>
          <w:color w:val="000000" w:themeColor="text1"/>
        </w:rPr>
        <w:t xml:space="preserve">Megagita </w:t>
      </w:r>
      <w:r w:rsidRPr="00014BE1">
        <w:rPr>
          <w:rFonts w:ascii="Times New Roman" w:hAnsi="Times New Roman" w:cs="Times New Roman"/>
          <w:i/>
          <w:noProof/>
          <w:color w:val="000000" w:themeColor="text1"/>
        </w:rPr>
        <w:t>et al.</w:t>
      </w:r>
      <w:r w:rsidRPr="00014BE1">
        <w:rPr>
          <w:rFonts w:ascii="Times New Roman" w:hAnsi="Times New Roman" w:cs="Times New Roman"/>
          <w:noProof/>
          <w:color w:val="000000" w:themeColor="text1"/>
        </w:rPr>
        <w:t xml:space="preserve"> (2021)</w:t>
      </w:r>
      <w:r w:rsidRPr="00014BE1">
        <w:rPr>
          <w:rFonts w:ascii="Times New Roman" w:hAnsi="Times New Roman" w:cs="Times New Roman"/>
          <w:color w:val="000000" w:themeColor="text1"/>
        </w:rPr>
        <w:fldChar w:fldCharType="end"/>
      </w:r>
      <w:r w:rsidRPr="00014BE1">
        <w:rPr>
          <w:rFonts w:ascii="Times New Roman" w:hAnsi="Times New Roman" w:cs="Times New Roman"/>
          <w:color w:val="000000" w:themeColor="text1"/>
        </w:rPr>
        <w:t xml:space="preserve"> serta </w:t>
      </w:r>
      <w:r w:rsidRPr="00014BE1">
        <w:rPr>
          <w:rFonts w:ascii="Times New Roman" w:hAnsi="Times New Roman" w:cs="Times New Roman"/>
          <w:color w:val="000000" w:themeColor="text1"/>
        </w:rPr>
        <w:fldChar w:fldCharType="begin" w:fldLock="1"/>
      </w:r>
      <w:r w:rsidRPr="00014BE1">
        <w:rPr>
          <w:rFonts w:ascii="Times New Roman" w:hAnsi="Times New Roman" w:cs="Times New Roman"/>
          <w:color w:val="000000" w:themeColor="text1"/>
        </w:rPr>
        <w:instrText>ADDIN CSL_CITATION {"citationItems":[{"id":"ITEM-1","itemData":{"abstract":"The tire industry is an industry that has potential to increase Indonesian exports to non-traditional markets such as Latin America. The purpose of the study is to analyze the power of the comparative, competitive, and export dynamic of Indonesian tire and also the factors that affect the export of Indonesian tire to Latin America. The period of analysis used in this study is from 2009 to 2014 using the method of analysis are Revealed Comparative Advantage (RCA), Export Product Dynamic (EPD), Gravity models and Porter's Diamond. The results of this study are rubber tire Indonesia has strong competitiveness in Latin America than in the country of Argentina. In addition, the rubber tire Indonesia has a good export dynamics position (rising star) in the country of Panama, Venezuela, Uruguay, Mexico, Guatemala, and Costa Rica. Factors that affect the export of Indonesian rubber tire to Latin America is the distance economies, Indonesia's per capita real GDP, real GDP per capita of the destination country, the real exchange rate, and the population of the destination country.","author":[{"dropping-particle":"","family":"Wardani","given":"Mia Ayu","non-dropping-particle":"","parse-names":false,"suffix":""},{"dropping-particle":"","family":"Mulatsih","given":"Sri","non-dropping-particle":"","parse-names":false,"suffix":""}],"container-title":"Ekonomi dan Kebijakan Pembangunan","id":"ITEM-1","issue":"1","issued":{"date-parts":[["2017"]]},"page":"81-100","title":"Analisis Daya Sing dan Faktor-faktor yang Mempengaruhi Ekspor Ban Indonesia ke Kawasan Amerika Latin","type":"article-journal","volume":"6"},"uris":["http://www.mendeley.com/documents/?uuid=f11d17bc-7ca8-44ee-aae9-9ada176b8964"]}],"mendeley":{"formattedCitation":"(M. A. Wardani &amp; Mulatsih, 2017)","manualFormatting":"Wardani dan Mulatsih (2017)","plainTextFormattedCitation":"(M. A. Wardani &amp; Mulatsih, 2017)","previouslyFormattedCitation":"(M. A. Wardani &amp; Mulatsih, 2017)"},"properties":{"noteIndex":0},"schema":"https://github.com/citation-style-language/schema/raw/master/csl-citation.json"}</w:instrText>
      </w:r>
      <w:r w:rsidRPr="00014BE1">
        <w:rPr>
          <w:rFonts w:ascii="Times New Roman" w:hAnsi="Times New Roman" w:cs="Times New Roman"/>
          <w:color w:val="000000" w:themeColor="text1"/>
        </w:rPr>
        <w:fldChar w:fldCharType="separate"/>
      </w:r>
      <w:r w:rsidRPr="00014BE1">
        <w:rPr>
          <w:rFonts w:ascii="Times New Roman" w:hAnsi="Times New Roman" w:cs="Times New Roman"/>
          <w:noProof/>
          <w:color w:val="000000" w:themeColor="text1"/>
        </w:rPr>
        <w:t>Wardani dan Mulatsih (2017)</w:t>
      </w:r>
      <w:r w:rsidRPr="00014BE1">
        <w:rPr>
          <w:rFonts w:ascii="Times New Roman" w:hAnsi="Times New Roman" w:cs="Times New Roman"/>
          <w:color w:val="000000" w:themeColor="text1"/>
        </w:rPr>
        <w:fldChar w:fldCharType="end"/>
      </w:r>
      <w:r w:rsidRPr="00014BE1">
        <w:rPr>
          <w:rFonts w:ascii="Times New Roman" w:hAnsi="Times New Roman" w:cs="Times New Roman"/>
          <w:color w:val="000000" w:themeColor="text1"/>
        </w:rPr>
        <w:t xml:space="preserve"> yang menyatakan bahwa  perubahan posisi pasar</w:t>
      </w:r>
      <w:r w:rsidR="00E74D8E">
        <w:rPr>
          <w:rFonts w:ascii="Times New Roman" w:hAnsi="Times New Roman" w:cs="Times New Roman"/>
          <w:color w:val="000000" w:themeColor="text1"/>
          <w:lang w:val="id-ID"/>
        </w:rPr>
        <w:t xml:space="preserve"> pada</w:t>
      </w:r>
      <w:r w:rsidRPr="00014BE1">
        <w:rPr>
          <w:rFonts w:ascii="Times New Roman" w:hAnsi="Times New Roman" w:cs="Times New Roman"/>
          <w:color w:val="000000" w:themeColor="text1"/>
        </w:rPr>
        <w:t xml:space="preserve"> suatu komoditas dapat dipengaruhi oleh perubahan pangsa pasar dan permintaan komoditas tersebut.</w:t>
      </w:r>
    </w:p>
    <w:p w:rsidR="00014BE1" w:rsidRPr="00014BE1" w:rsidRDefault="00014BE1" w:rsidP="00CB146D">
      <w:pPr>
        <w:spacing w:after="0" w:line="240" w:lineRule="auto"/>
        <w:ind w:firstLine="567"/>
        <w:jc w:val="both"/>
        <w:rPr>
          <w:rFonts w:ascii="Times New Roman" w:hAnsi="Times New Roman" w:cs="Times New Roman"/>
          <w:color w:val="000000"/>
          <w:lang w:val="id-ID"/>
        </w:rPr>
      </w:pPr>
    </w:p>
    <w:p w:rsidR="00146119" w:rsidRPr="009F7A5E" w:rsidRDefault="0001486E" w:rsidP="009F7A5E">
      <w:pPr>
        <w:spacing w:after="0" w:line="240" w:lineRule="auto"/>
        <w:rPr>
          <w:rFonts w:ascii="Times New Roman" w:hAnsi="Times New Roman" w:cs="Times New Roman"/>
          <w:b/>
          <w:color w:val="000000"/>
          <w:sz w:val="24"/>
          <w:szCs w:val="24"/>
          <w:lang w:val="id-ID"/>
        </w:rPr>
      </w:pPr>
      <w:r w:rsidRPr="009F7A5E">
        <w:rPr>
          <w:rFonts w:ascii="Times New Roman" w:hAnsi="Times New Roman" w:cs="Times New Roman"/>
          <w:b/>
          <w:color w:val="000000"/>
          <w:sz w:val="24"/>
          <w:szCs w:val="24"/>
          <w:lang w:val="id-ID"/>
        </w:rPr>
        <w:lastRenderedPageBreak/>
        <w:t>KESIMPULAN</w:t>
      </w:r>
    </w:p>
    <w:p w:rsidR="003C6818" w:rsidRPr="00BE6EE7" w:rsidRDefault="003C6818" w:rsidP="00CB146D">
      <w:pPr>
        <w:spacing w:after="0" w:line="240" w:lineRule="auto"/>
        <w:ind w:firstLine="567"/>
        <w:jc w:val="both"/>
        <w:rPr>
          <w:rFonts w:ascii="Times New Roman" w:hAnsi="Times New Roman" w:cs="Times New Roman"/>
        </w:rPr>
      </w:pPr>
      <w:r w:rsidRPr="00BE6EE7">
        <w:rPr>
          <w:rFonts w:ascii="Times New Roman" w:hAnsi="Times New Roman" w:cs="Times New Roman"/>
        </w:rPr>
        <w:t xml:space="preserve">Daya saing ekspor komoditas tembakau Indonesia memiliki perubahan dari sebelum pandemi Covid-19 dan saat pandemi Covid-19. </w:t>
      </w:r>
    </w:p>
    <w:p w:rsidR="00CA7B6D" w:rsidRPr="00BE6EE7" w:rsidRDefault="003C6818" w:rsidP="00CB146D">
      <w:pPr>
        <w:pStyle w:val="ListParagraph"/>
        <w:numPr>
          <w:ilvl w:val="0"/>
          <w:numId w:val="9"/>
        </w:numPr>
        <w:spacing w:after="0" w:line="240" w:lineRule="auto"/>
        <w:ind w:left="426" w:hanging="426"/>
        <w:jc w:val="both"/>
        <w:rPr>
          <w:rFonts w:ascii="Times New Roman" w:hAnsi="Times New Roman" w:cs="Times New Roman"/>
        </w:rPr>
      </w:pPr>
      <w:r w:rsidRPr="00BE6EE7">
        <w:rPr>
          <w:rFonts w:ascii="Times New Roman" w:hAnsi="Times New Roman" w:cs="Times New Roman"/>
        </w:rPr>
        <w:t>Hasil analisis IIT menunjukkan mayoritas negara mengalami penurunan saat pandemi Covid-19. Negara yang mengalami penurunan adalah Belanda namun masih dalam kondisi kuat, Republik Dominika menurun dari sedang ke lemah, Singapura dengan kondisi intergrasi lemah, dan Sri Lanka yang menurun dari sedang ke lemah. Negara yang mengalami peningkatan adalah Belgia namun masih dalam kondisi lemah, Jerman dengan kondisi kuat, dan Amerika Serikat yang meningkat dari sedang ke kuat. Hal tersebut artinya pandemi Covid-19 dapat memengaruhi integrasi perdagangan tembakau antara Indonesia dengan tujuh negara tujuan.</w:t>
      </w:r>
    </w:p>
    <w:p w:rsidR="00CA7B6D" w:rsidRPr="00BE6EE7" w:rsidRDefault="003C6818" w:rsidP="00CB146D">
      <w:pPr>
        <w:pStyle w:val="ListParagraph"/>
        <w:numPr>
          <w:ilvl w:val="0"/>
          <w:numId w:val="9"/>
        </w:numPr>
        <w:spacing w:after="0" w:line="240" w:lineRule="auto"/>
        <w:ind w:left="426" w:hanging="426"/>
        <w:jc w:val="both"/>
        <w:rPr>
          <w:rFonts w:ascii="Times New Roman" w:hAnsi="Times New Roman" w:cs="Times New Roman"/>
        </w:rPr>
      </w:pPr>
      <w:r w:rsidRPr="00BE6EE7">
        <w:rPr>
          <w:rFonts w:ascii="Times New Roman" w:hAnsi="Times New Roman" w:cs="Times New Roman"/>
        </w:rPr>
        <w:t>Hasil analisis RCA menunjukkan ketujuh negara tujuan utama, yakni Belanda, Belgia, Jerman, Republik Dominika, Singapura, Sri Lanka, dan Amerika Serikat menunjukkan posisi yang kuat, baik sebelum maupun saat pandemi Covid-19. Hal ini menunjukkan bahwa daya saing tembakau Indonesia masih bertahan, meskipun dalam kondisi pandemi Covid-19.</w:t>
      </w:r>
    </w:p>
    <w:p w:rsidR="00146119" w:rsidRPr="00F97D35" w:rsidRDefault="003C6818" w:rsidP="00CB146D">
      <w:pPr>
        <w:pStyle w:val="ListParagraph"/>
        <w:numPr>
          <w:ilvl w:val="0"/>
          <w:numId w:val="9"/>
        </w:numPr>
        <w:spacing w:after="0" w:line="240" w:lineRule="auto"/>
        <w:ind w:left="426" w:hanging="426"/>
        <w:jc w:val="both"/>
        <w:rPr>
          <w:rFonts w:ascii="Times New Roman" w:hAnsi="Times New Roman" w:cs="Times New Roman"/>
        </w:rPr>
      </w:pPr>
      <w:r w:rsidRPr="00BE6EE7">
        <w:rPr>
          <w:rFonts w:ascii="Times New Roman" w:hAnsi="Times New Roman" w:cs="Times New Roman"/>
        </w:rPr>
        <w:t xml:space="preserve">Hasil analisis </w:t>
      </w:r>
      <w:r w:rsidRPr="00BE6EE7">
        <w:rPr>
          <w:rFonts w:ascii="Times New Roman" w:hAnsi="Times New Roman" w:cs="Times New Roman"/>
          <w:lang w:val="en-US"/>
        </w:rPr>
        <w:t xml:space="preserve">EPD </w:t>
      </w:r>
      <w:r w:rsidRPr="00BE6EE7">
        <w:rPr>
          <w:rFonts w:ascii="Times New Roman" w:hAnsi="Times New Roman" w:cs="Times New Roman"/>
        </w:rPr>
        <w:t>sebagian besar negara tujuan utama ekspor tembakau</w:t>
      </w:r>
      <w:r w:rsidRPr="00BE6EE7">
        <w:rPr>
          <w:rFonts w:ascii="Times New Roman" w:hAnsi="Times New Roman" w:cs="Times New Roman"/>
          <w:lang w:val="en-US"/>
        </w:rPr>
        <w:t xml:space="preserve"> menunjukkan hasil yang positif, </w:t>
      </w:r>
      <w:r w:rsidRPr="00BE6EE7">
        <w:rPr>
          <w:rFonts w:ascii="Times New Roman" w:hAnsi="Times New Roman" w:cs="Times New Roman"/>
        </w:rPr>
        <w:t>kecuali</w:t>
      </w:r>
      <w:r w:rsidRPr="00BE6EE7">
        <w:rPr>
          <w:rFonts w:ascii="Times New Roman" w:hAnsi="Times New Roman" w:cs="Times New Roman"/>
          <w:lang w:val="en-US"/>
        </w:rPr>
        <w:t xml:space="preserve"> Amerika</w:t>
      </w:r>
      <w:r w:rsidRPr="00BE6EE7">
        <w:rPr>
          <w:rFonts w:ascii="Times New Roman" w:hAnsi="Times New Roman" w:cs="Times New Roman"/>
        </w:rPr>
        <w:t xml:space="preserve"> </w:t>
      </w:r>
      <w:r w:rsidRPr="00BE6EE7">
        <w:rPr>
          <w:rFonts w:ascii="Times New Roman" w:hAnsi="Times New Roman" w:cs="Times New Roman"/>
          <w:lang w:val="en-US"/>
        </w:rPr>
        <w:t>Serikat yang mengalami penurunan saat pandemi Covid-19</w:t>
      </w:r>
      <w:r w:rsidRPr="00BE6EE7">
        <w:rPr>
          <w:rFonts w:ascii="Times New Roman" w:hAnsi="Times New Roman" w:cs="Times New Roman"/>
          <w:i/>
          <w:lang w:val="en-US"/>
        </w:rPr>
        <w:t>.</w:t>
      </w:r>
      <w:r w:rsidRPr="00BE6EE7">
        <w:rPr>
          <w:rFonts w:ascii="Times New Roman" w:hAnsi="Times New Roman" w:cs="Times New Roman"/>
          <w:i/>
        </w:rPr>
        <w:t xml:space="preserve"> </w:t>
      </w:r>
      <w:r w:rsidRPr="00BE6EE7">
        <w:rPr>
          <w:rFonts w:ascii="Times New Roman" w:hAnsi="Times New Roman" w:cs="Times New Roman"/>
        </w:rPr>
        <w:t>Hal ini berarti tembakau Indonesia masih tetap diminati pasar tujuan ekspor utama.</w:t>
      </w:r>
    </w:p>
    <w:p w:rsidR="00F85700" w:rsidRPr="00BE6EE7" w:rsidRDefault="00F97D35" w:rsidP="00CB146D">
      <w:pPr>
        <w:spacing w:after="0" w:line="240" w:lineRule="auto"/>
        <w:ind w:firstLine="567"/>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Berdasarkan h</w:t>
      </w:r>
      <w:r w:rsidR="00F85700" w:rsidRPr="00BE6EE7">
        <w:rPr>
          <w:rFonts w:ascii="Times New Roman" w:hAnsi="Times New Roman" w:cs="Times New Roman"/>
          <w:color w:val="000000" w:themeColor="text1"/>
        </w:rPr>
        <w:t>asil penelitian</w:t>
      </w:r>
      <w:r>
        <w:rPr>
          <w:rFonts w:ascii="Times New Roman" w:hAnsi="Times New Roman" w:cs="Times New Roman"/>
          <w:color w:val="000000" w:themeColor="text1"/>
          <w:lang w:val="id-ID"/>
        </w:rPr>
        <w:t xml:space="preserve"> diperoleh beberapa saran, yakni</w:t>
      </w:r>
      <w:r>
        <w:rPr>
          <w:rFonts w:ascii="Times New Roman" w:hAnsi="Times New Roman" w:cs="Times New Roman"/>
          <w:color w:val="000000" w:themeColor="text1"/>
        </w:rPr>
        <w:t xml:space="preserve"> bagi p</w:t>
      </w:r>
      <w:r w:rsidR="00F85700" w:rsidRPr="00BE6EE7">
        <w:rPr>
          <w:rFonts w:ascii="Times New Roman" w:hAnsi="Times New Roman" w:cs="Times New Roman"/>
          <w:color w:val="000000" w:themeColor="text1"/>
        </w:rPr>
        <w:t xml:space="preserve">emerintah Indonesia dan eksportir tembakau Indonesia perlu meningkatkan volume ekspor pada negara tujuan utama yaitu Eropa, Singapura, Republik Dominika, dan Amerika Serikat, namun perlu adanya perhatian khusus terhadap negara-negara yang potensial, seperti Singapura dan Republik Dominika, di mana kedua negara ini memiliki daya saing yang tinggi dan berada pada posisi </w:t>
      </w:r>
      <w:r w:rsidR="00F85700" w:rsidRPr="00BE6EE7">
        <w:rPr>
          <w:rFonts w:ascii="Times New Roman" w:hAnsi="Times New Roman" w:cs="Times New Roman"/>
          <w:i/>
          <w:color w:val="000000" w:themeColor="text1"/>
        </w:rPr>
        <w:t>rising star</w:t>
      </w:r>
      <w:r w:rsidR="00F85700" w:rsidRPr="00BE6EE7">
        <w:rPr>
          <w:rFonts w:ascii="Times New Roman" w:hAnsi="Times New Roman" w:cs="Times New Roman"/>
          <w:color w:val="000000" w:themeColor="text1"/>
        </w:rPr>
        <w:t xml:space="preserve">. Petani tembakau perlu membudidayakan dan mengembangkan jenis-jenis tembakau yang diminati oleh konsumen dari negara-negara tujuan utama sehingga dapat meningkatkan volume ekspor, selain itu petani juga perlu mengembangkan jenis tembakau yang banyak diminati oleh konsumen dalam negeri sehingga dapat memaksimalkan penyerapan oleh IHT. Perlu penelitian lanjutan terkait daya saing </w:t>
      </w:r>
      <w:r w:rsidR="00B44AA6" w:rsidRPr="00BE6EE7">
        <w:rPr>
          <w:rFonts w:ascii="Times New Roman" w:hAnsi="Times New Roman" w:cs="Times New Roman"/>
          <w:color w:val="000000" w:themeColor="text1"/>
          <w:lang w:val="id-ID"/>
        </w:rPr>
        <w:t xml:space="preserve">ekspor tembakau </w:t>
      </w:r>
      <w:r w:rsidR="005D0517" w:rsidRPr="00BE6EE7">
        <w:rPr>
          <w:rFonts w:ascii="Times New Roman" w:hAnsi="Times New Roman" w:cs="Times New Roman"/>
          <w:color w:val="000000" w:themeColor="text1"/>
          <w:lang w:val="id-ID"/>
        </w:rPr>
        <w:t xml:space="preserve">di negara tujuan utama, terutama setelah masa transisi </w:t>
      </w:r>
      <w:r w:rsidR="005D0517" w:rsidRPr="00BE6EE7">
        <w:rPr>
          <w:rFonts w:ascii="Times New Roman" w:hAnsi="Times New Roman" w:cs="Times New Roman"/>
          <w:i/>
          <w:color w:val="000000" w:themeColor="text1"/>
          <w:lang w:val="id-ID"/>
        </w:rPr>
        <w:t>new normal</w:t>
      </w:r>
      <w:r w:rsidR="00B44AA6" w:rsidRPr="00BE6EE7">
        <w:rPr>
          <w:rFonts w:ascii="Times New Roman" w:hAnsi="Times New Roman" w:cs="Times New Roman"/>
          <w:color w:val="000000" w:themeColor="text1"/>
          <w:lang w:val="id-ID"/>
        </w:rPr>
        <w:t xml:space="preserve"> dan perubahan perekonomian negara tujuan.</w:t>
      </w:r>
    </w:p>
    <w:p w:rsidR="00F85700" w:rsidRPr="00BE6EE7" w:rsidRDefault="00F85700" w:rsidP="00CB146D">
      <w:pPr>
        <w:spacing w:after="0" w:line="240" w:lineRule="auto"/>
        <w:jc w:val="both"/>
        <w:rPr>
          <w:rFonts w:ascii="Times New Roman" w:hAnsi="Times New Roman" w:cs="Times New Roman"/>
          <w:color w:val="000000" w:themeColor="text1"/>
        </w:rPr>
      </w:pPr>
    </w:p>
    <w:p w:rsidR="00D91545" w:rsidRPr="00E06562" w:rsidRDefault="00146119" w:rsidP="00E06562">
      <w:pPr>
        <w:spacing w:after="0" w:line="240" w:lineRule="auto"/>
        <w:rPr>
          <w:rFonts w:ascii="Times New Roman" w:hAnsi="Times New Roman" w:cs="Times New Roman"/>
          <w:b/>
          <w:color w:val="000000" w:themeColor="text1"/>
          <w:sz w:val="24"/>
          <w:szCs w:val="24"/>
          <w:lang w:val="id-ID"/>
        </w:rPr>
      </w:pPr>
      <w:r w:rsidRPr="00E06562">
        <w:rPr>
          <w:rFonts w:ascii="Times New Roman" w:hAnsi="Times New Roman" w:cs="Times New Roman"/>
          <w:b/>
          <w:color w:val="000000" w:themeColor="text1"/>
          <w:sz w:val="24"/>
          <w:szCs w:val="24"/>
          <w:lang w:val="id-ID"/>
        </w:rPr>
        <w:t>UCAPAN TERIMA KASIH</w:t>
      </w:r>
    </w:p>
    <w:p w:rsidR="00352CC6" w:rsidRPr="00BE6EE7" w:rsidRDefault="00D91545" w:rsidP="00CB146D">
      <w:pPr>
        <w:spacing w:after="0" w:line="240" w:lineRule="auto"/>
        <w:ind w:firstLine="567"/>
        <w:jc w:val="both"/>
        <w:rPr>
          <w:rFonts w:ascii="Times New Roman" w:hAnsi="Times New Roman" w:cs="Times New Roman"/>
          <w:color w:val="000000" w:themeColor="text1"/>
          <w:lang w:val="id-ID"/>
        </w:rPr>
      </w:pPr>
      <w:r w:rsidRPr="00BE6EE7">
        <w:rPr>
          <w:rFonts w:ascii="Times New Roman" w:hAnsi="Times New Roman" w:cs="Times New Roman"/>
          <w:color w:val="000000" w:themeColor="text1"/>
          <w:lang w:val="id-ID"/>
        </w:rPr>
        <w:t xml:space="preserve">Saya ucapkan terima kasih kepada </w:t>
      </w:r>
      <w:r w:rsidR="00D50911" w:rsidRPr="00BE6EE7">
        <w:rPr>
          <w:rFonts w:ascii="Times New Roman" w:hAnsi="Times New Roman" w:cs="Times New Roman"/>
          <w:color w:val="000000" w:themeColor="text1"/>
          <w:lang w:val="id-ID"/>
        </w:rPr>
        <w:t xml:space="preserve">Program Kompetisi Kampus Merdeka (PKKM) </w:t>
      </w:r>
      <w:r w:rsidR="00FF4665" w:rsidRPr="00BE6EE7">
        <w:rPr>
          <w:rFonts w:ascii="Times New Roman" w:hAnsi="Times New Roman" w:cs="Times New Roman"/>
          <w:color w:val="000000" w:themeColor="text1"/>
          <w:lang w:val="id-ID"/>
        </w:rPr>
        <w:t xml:space="preserve">2021 </w:t>
      </w:r>
      <w:r w:rsidR="00D50911" w:rsidRPr="00BE6EE7">
        <w:rPr>
          <w:rFonts w:ascii="Times New Roman" w:hAnsi="Times New Roman" w:cs="Times New Roman"/>
          <w:color w:val="000000" w:themeColor="text1"/>
          <w:lang w:val="id-ID"/>
        </w:rPr>
        <w:t>Program Studi Agribisnis Fakultas Pe</w:t>
      </w:r>
      <w:r w:rsidR="00FF4665" w:rsidRPr="00BE6EE7">
        <w:rPr>
          <w:rFonts w:ascii="Times New Roman" w:hAnsi="Times New Roman" w:cs="Times New Roman"/>
          <w:color w:val="000000" w:themeColor="text1"/>
          <w:lang w:val="id-ID"/>
        </w:rPr>
        <w:t xml:space="preserve">rtanian Universitas Jember </w:t>
      </w:r>
      <w:r w:rsidR="00D50911" w:rsidRPr="00BE6EE7">
        <w:rPr>
          <w:rFonts w:ascii="Times New Roman" w:hAnsi="Times New Roman" w:cs="Times New Roman"/>
          <w:color w:val="000000" w:themeColor="text1"/>
          <w:lang w:val="id-ID"/>
        </w:rPr>
        <w:t>dengan Perjanjian No. 01/E1/PPK/KM.05.03/2021</w:t>
      </w:r>
      <w:r w:rsidR="00FF4665" w:rsidRPr="00BE6EE7">
        <w:rPr>
          <w:rFonts w:ascii="Times New Roman" w:hAnsi="Times New Roman" w:cs="Times New Roman"/>
          <w:color w:val="000000" w:themeColor="text1"/>
          <w:lang w:val="id-ID"/>
        </w:rPr>
        <w:t>.</w:t>
      </w:r>
      <w:r w:rsidR="00D50911" w:rsidRPr="00BE6EE7">
        <w:rPr>
          <w:rFonts w:ascii="Times New Roman" w:hAnsi="Times New Roman" w:cs="Times New Roman"/>
          <w:color w:val="000000" w:themeColor="text1"/>
          <w:lang w:val="id-ID"/>
        </w:rPr>
        <w:t xml:space="preserve"> yang telah mendukung pembiayaan untuk penyelesaian penelitian ini.</w:t>
      </w:r>
    </w:p>
    <w:p w:rsidR="00233370" w:rsidRPr="00BE6EE7" w:rsidRDefault="00233370" w:rsidP="00CB146D">
      <w:pPr>
        <w:spacing w:after="0" w:line="240" w:lineRule="auto"/>
        <w:ind w:firstLine="567"/>
        <w:jc w:val="both"/>
        <w:rPr>
          <w:rFonts w:ascii="Times New Roman" w:hAnsi="Times New Roman" w:cs="Times New Roman"/>
          <w:color w:val="000000" w:themeColor="text1"/>
          <w:lang w:val="id-ID"/>
        </w:rPr>
      </w:pPr>
    </w:p>
    <w:p w:rsidR="00146119" w:rsidRPr="00E06562" w:rsidRDefault="00D91545" w:rsidP="00E06562">
      <w:pPr>
        <w:spacing w:after="0" w:line="240" w:lineRule="auto"/>
        <w:rPr>
          <w:rFonts w:ascii="Times New Roman" w:hAnsi="Times New Roman" w:cs="Times New Roman"/>
          <w:b/>
          <w:color w:val="000000" w:themeColor="text1"/>
          <w:sz w:val="24"/>
          <w:szCs w:val="24"/>
          <w:lang w:val="id-ID"/>
        </w:rPr>
      </w:pPr>
      <w:r w:rsidRPr="00E06562">
        <w:rPr>
          <w:rFonts w:ascii="Times New Roman" w:hAnsi="Times New Roman" w:cs="Times New Roman"/>
          <w:b/>
          <w:color w:val="000000" w:themeColor="text1"/>
          <w:sz w:val="24"/>
          <w:szCs w:val="24"/>
          <w:lang w:val="id-ID"/>
        </w:rPr>
        <w:t>DAFTAR PUSTAKA</w:t>
      </w:r>
    </w:p>
    <w:p w:rsidR="00F8570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BE6EE7">
        <w:rPr>
          <w:rFonts w:ascii="Times New Roman" w:hAnsi="Times New Roman" w:cs="Times New Roman"/>
          <w:lang w:val="id-ID"/>
        </w:rPr>
        <w:fldChar w:fldCharType="begin" w:fldLock="1"/>
      </w:r>
      <w:r w:rsidRPr="00BE6EE7">
        <w:rPr>
          <w:rFonts w:ascii="Times New Roman" w:hAnsi="Times New Roman" w:cs="Times New Roman"/>
          <w:lang w:val="id-ID"/>
        </w:rPr>
        <w:instrText xml:space="preserve">ADDIN Mendeley Bibliography CSL_BIBLIOGRAPHY </w:instrText>
      </w:r>
      <w:r w:rsidRPr="00BE6EE7">
        <w:rPr>
          <w:rFonts w:ascii="Times New Roman" w:hAnsi="Times New Roman" w:cs="Times New Roman"/>
          <w:lang w:val="id-ID"/>
        </w:rPr>
        <w:fldChar w:fldCharType="separate"/>
      </w:r>
      <w:r w:rsidRPr="00E06562">
        <w:rPr>
          <w:rFonts w:ascii="Times New Roman" w:hAnsi="Times New Roman" w:cs="Times New Roman"/>
          <w:noProof/>
        </w:rPr>
        <w:t xml:space="preserve">Adriaens, K., Van Gucht, D., Van Lommel, S., &amp; Baeyens, F. (2021). Vaping during the COVID-19 lockdown period in Belgium. </w:t>
      </w:r>
      <w:r w:rsidRPr="00E06562">
        <w:rPr>
          <w:rFonts w:ascii="Times New Roman" w:hAnsi="Times New Roman" w:cs="Times New Roman"/>
          <w:i/>
          <w:iCs/>
          <w:noProof/>
        </w:rPr>
        <w:t>BMC Public Health</w:t>
      </w:r>
      <w:r w:rsidRPr="00E06562">
        <w:rPr>
          <w:rFonts w:ascii="Times New Roman" w:hAnsi="Times New Roman" w:cs="Times New Roman"/>
          <w:noProof/>
        </w:rPr>
        <w:t xml:space="preserve">, </w:t>
      </w:r>
      <w:r w:rsidRPr="00E06562">
        <w:rPr>
          <w:rFonts w:ascii="Times New Roman" w:hAnsi="Times New Roman" w:cs="Times New Roman"/>
          <w:i/>
          <w:iCs/>
          <w:noProof/>
        </w:rPr>
        <w:t>21</w:t>
      </w:r>
      <w:r w:rsidR="00FF4665" w:rsidRPr="00E06562">
        <w:rPr>
          <w:rFonts w:ascii="Times New Roman" w:hAnsi="Times New Roman" w:cs="Times New Roman"/>
          <w:noProof/>
        </w:rPr>
        <w:t>(1), 1–10.</w:t>
      </w:r>
    </w:p>
    <w:p w:rsidR="00E06562" w:rsidRPr="00E06562" w:rsidRDefault="00F85700" w:rsidP="000422A6">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Amelia, A. . (2012). Hasil Kajian Beberapa Jenis Tembakau di Indonesia. </w:t>
      </w:r>
      <w:r w:rsidRPr="00E06562">
        <w:rPr>
          <w:rFonts w:ascii="Times New Roman" w:hAnsi="Times New Roman" w:cs="Times New Roman"/>
          <w:i/>
          <w:iCs/>
          <w:noProof/>
        </w:rPr>
        <w:t>AgroSainT UKI Toraja</w:t>
      </w:r>
      <w:r w:rsidRPr="00E06562">
        <w:rPr>
          <w:rFonts w:ascii="Times New Roman" w:hAnsi="Times New Roman" w:cs="Times New Roman"/>
          <w:noProof/>
        </w:rPr>
        <w:t xml:space="preserve">, </w:t>
      </w:r>
      <w:r w:rsidRPr="00E06562">
        <w:rPr>
          <w:rFonts w:ascii="Times New Roman" w:hAnsi="Times New Roman" w:cs="Times New Roman"/>
          <w:i/>
          <w:iCs/>
          <w:noProof/>
        </w:rPr>
        <w:t>3</w:t>
      </w:r>
      <w:r w:rsidRPr="00E06562">
        <w:rPr>
          <w:rFonts w:ascii="Times New Roman" w:hAnsi="Times New Roman" w:cs="Times New Roman"/>
          <w:noProof/>
        </w:rPr>
        <w:t>(1), 243–251.</w:t>
      </w:r>
    </w:p>
    <w:p w:rsidR="00F8570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sidRPr="00E06562">
        <w:rPr>
          <w:rFonts w:ascii="Times New Roman" w:hAnsi="Times New Roman" w:cs="Times New Roman"/>
          <w:noProof/>
        </w:rPr>
        <w:t xml:space="preserve">Burki, T. K. (2021). </w:t>
      </w:r>
      <w:r w:rsidRPr="00E06562">
        <w:rPr>
          <w:rFonts w:ascii="Times New Roman" w:hAnsi="Times New Roman" w:cs="Times New Roman"/>
          <w:i/>
          <w:iCs/>
          <w:noProof/>
        </w:rPr>
        <w:t>Tobacco Industry Influence during the COVID-19 Pandemic</w:t>
      </w:r>
      <w:r w:rsidRPr="00E06562">
        <w:rPr>
          <w:rFonts w:ascii="Times New Roman" w:hAnsi="Times New Roman" w:cs="Times New Roman"/>
          <w:noProof/>
        </w:rPr>
        <w:t>.</w:t>
      </w:r>
      <w:r w:rsidRPr="00E06562">
        <w:rPr>
          <w:rFonts w:ascii="Times New Roman" w:hAnsi="Times New Roman" w:cs="Times New Roman"/>
          <w:noProof/>
          <w:lang w:val="id-ID"/>
        </w:rPr>
        <w:t xml:space="preserve"> </w:t>
      </w:r>
      <w:r w:rsidRPr="00E06562">
        <w:rPr>
          <w:rFonts w:ascii="Times New Roman" w:hAnsi="Times New Roman" w:cs="Times New Roman"/>
          <w:noProof/>
        </w:rPr>
        <w:t xml:space="preserve">Diakses dari </w:t>
      </w:r>
      <w:r w:rsidRPr="00E06562">
        <w:rPr>
          <w:rFonts w:ascii="Times New Roman" w:hAnsi="Times New Roman" w:cs="Times New Roman"/>
          <w:noProof/>
          <w:color w:val="2E74B5" w:themeColor="accent1" w:themeShade="BF"/>
          <w:u w:val="single"/>
        </w:rPr>
        <w:t>https://pubmed.ncbi.nlm.nih.gov/34762830/</w:t>
      </w:r>
    </w:p>
    <w:p w:rsidR="00F85700"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Direktorat Jenderal Perkebunan Republik Indonesia. (2021). </w:t>
      </w:r>
      <w:r w:rsidRPr="00E06562">
        <w:rPr>
          <w:rFonts w:ascii="Times New Roman" w:hAnsi="Times New Roman" w:cs="Times New Roman"/>
          <w:i/>
          <w:iCs/>
          <w:noProof/>
        </w:rPr>
        <w:t>Statistik Perkebunan Unggulan Nasional 2019 - 2021</w:t>
      </w:r>
      <w:r w:rsidRPr="00E06562">
        <w:rPr>
          <w:rFonts w:ascii="Times New Roman" w:hAnsi="Times New Roman" w:cs="Times New Roman"/>
          <w:noProof/>
        </w:rPr>
        <w:t>.</w:t>
      </w:r>
      <w:r w:rsidRPr="00E06562">
        <w:rPr>
          <w:rFonts w:ascii="Times New Roman" w:hAnsi="Times New Roman" w:cs="Times New Roman"/>
          <w:noProof/>
          <w:lang w:val="id-ID"/>
        </w:rPr>
        <w:t xml:space="preserve"> </w:t>
      </w:r>
      <w:r w:rsidRPr="00E06562">
        <w:rPr>
          <w:rFonts w:ascii="Times New Roman" w:hAnsi="Times New Roman" w:cs="Times New Roman"/>
          <w:noProof/>
        </w:rPr>
        <w:t>Jakarta: Kementerian Pertanian Republik Indonesia</w:t>
      </w:r>
    </w:p>
    <w:p w:rsidR="004720CE" w:rsidRDefault="004720CE" w:rsidP="00CB146D">
      <w:pPr>
        <w:widowControl w:val="0"/>
        <w:autoSpaceDE w:val="0"/>
        <w:autoSpaceDN w:val="0"/>
        <w:adjustRightInd w:val="0"/>
        <w:spacing w:after="0" w:line="240" w:lineRule="auto"/>
        <w:ind w:left="480" w:hanging="480"/>
        <w:jc w:val="both"/>
        <w:rPr>
          <w:rFonts w:ascii="Times New Roman" w:hAnsi="Times New Roman" w:cs="Times New Roman"/>
          <w:noProof/>
        </w:rPr>
      </w:pPr>
    </w:p>
    <w:p w:rsidR="004720CE" w:rsidRPr="00E06562" w:rsidRDefault="004720CE" w:rsidP="00CB146D">
      <w:pPr>
        <w:widowControl w:val="0"/>
        <w:autoSpaceDE w:val="0"/>
        <w:autoSpaceDN w:val="0"/>
        <w:adjustRightInd w:val="0"/>
        <w:spacing w:after="0" w:line="240" w:lineRule="auto"/>
        <w:ind w:left="480" w:hanging="480"/>
        <w:jc w:val="both"/>
        <w:rPr>
          <w:rFonts w:ascii="Times New Roman" w:hAnsi="Times New Roman" w:cs="Times New Roman"/>
          <w:noProof/>
          <w:lang w:val="id-ID"/>
        </w:rPr>
      </w:pPr>
    </w:p>
    <w:p w:rsidR="00FF4665"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lastRenderedPageBreak/>
        <w:t xml:space="preserve">Gendall, P., Hoek, J., Stanley, J., Jenkins, M., &amp; Every-Palmer, S. (2021). Changes in Tobacco Use during the 2020 COVID-19 Lockdown in New Zealand. </w:t>
      </w:r>
      <w:r w:rsidRPr="00E06562">
        <w:rPr>
          <w:rFonts w:ascii="Times New Roman" w:hAnsi="Times New Roman" w:cs="Times New Roman"/>
          <w:i/>
          <w:iCs/>
          <w:noProof/>
        </w:rPr>
        <w:t>Nicotine and Tobacco Research</w:t>
      </w:r>
      <w:r w:rsidRPr="00E06562">
        <w:rPr>
          <w:rFonts w:ascii="Times New Roman" w:hAnsi="Times New Roman" w:cs="Times New Roman"/>
          <w:noProof/>
        </w:rPr>
        <w:t xml:space="preserve">, </w:t>
      </w:r>
      <w:r w:rsidRPr="00E06562">
        <w:rPr>
          <w:rFonts w:ascii="Times New Roman" w:hAnsi="Times New Roman" w:cs="Times New Roman"/>
          <w:i/>
          <w:iCs/>
          <w:noProof/>
        </w:rPr>
        <w:t>23</w:t>
      </w:r>
      <w:r w:rsidRPr="00E06562">
        <w:rPr>
          <w:rFonts w:ascii="Times New Roman" w:hAnsi="Times New Roman" w:cs="Times New Roman"/>
          <w:noProof/>
        </w:rPr>
        <w:t xml:space="preserve">(5), 866–871. </w:t>
      </w:r>
    </w:p>
    <w:p w:rsidR="00F8570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Giovenco, D. P., Spillane, T. E., Maggi, R. M., Lee, E. Y., &amp; Philbin, M. M. (2021). Multi-level Drivers of Tobacco Use and Purchasing Pehaviors during COVID-19 “Lockdown”: A Qualitative Study in the United States. </w:t>
      </w:r>
      <w:r w:rsidRPr="00E06562">
        <w:rPr>
          <w:rFonts w:ascii="Times New Roman" w:hAnsi="Times New Roman" w:cs="Times New Roman"/>
          <w:i/>
          <w:iCs/>
          <w:noProof/>
        </w:rPr>
        <w:t>International Journal of Drug Policy</w:t>
      </w:r>
      <w:r w:rsidRPr="00E06562">
        <w:rPr>
          <w:rFonts w:ascii="Times New Roman" w:hAnsi="Times New Roman" w:cs="Times New Roman"/>
          <w:noProof/>
        </w:rPr>
        <w:t xml:space="preserve">, </w:t>
      </w:r>
      <w:r w:rsidRPr="00E06562">
        <w:rPr>
          <w:rFonts w:ascii="Times New Roman" w:hAnsi="Times New Roman" w:cs="Times New Roman"/>
          <w:i/>
          <w:iCs/>
          <w:noProof/>
        </w:rPr>
        <w:t>94</w:t>
      </w:r>
      <w:r w:rsidRPr="00E06562">
        <w:rPr>
          <w:rFonts w:ascii="Times New Roman" w:hAnsi="Times New Roman" w:cs="Times New Roman"/>
          <w:noProof/>
        </w:rPr>
        <w:t xml:space="preserve">(1), 1–8. </w:t>
      </w:r>
    </w:p>
    <w:p w:rsidR="00F8570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Indonesia.go.id. (2018). Tembakau, Sejarah, dan Cita Rasa. Diakses dari https://indonesia.go.id/ragam/komoditas/ekonomi/tembakau-sejarah-dan-cita-rasa-indonesia</w:t>
      </w:r>
    </w:p>
    <w:p w:rsidR="00F8570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Iswara, I. B. M., &amp; Meydianawathi, L. G. (2017). Analisis Daya Saing Ekspor Tembakau Indonesia Ke Pasar Jepang Periode 2005-2014. </w:t>
      </w:r>
      <w:r w:rsidRPr="00E06562">
        <w:rPr>
          <w:rFonts w:ascii="Times New Roman" w:hAnsi="Times New Roman" w:cs="Times New Roman"/>
          <w:i/>
          <w:iCs/>
          <w:noProof/>
        </w:rPr>
        <w:t>Ekonomi Pembangunan Universitas Udayana</w:t>
      </w:r>
      <w:r w:rsidRPr="00E06562">
        <w:rPr>
          <w:rFonts w:ascii="Times New Roman" w:hAnsi="Times New Roman" w:cs="Times New Roman"/>
          <w:noProof/>
        </w:rPr>
        <w:t xml:space="preserve">, </w:t>
      </w:r>
      <w:r w:rsidRPr="00E06562">
        <w:rPr>
          <w:rFonts w:ascii="Times New Roman" w:hAnsi="Times New Roman" w:cs="Times New Roman"/>
          <w:i/>
          <w:iCs/>
          <w:noProof/>
        </w:rPr>
        <w:t>6</w:t>
      </w:r>
      <w:r w:rsidRPr="00E06562">
        <w:rPr>
          <w:rFonts w:ascii="Times New Roman" w:hAnsi="Times New Roman" w:cs="Times New Roman"/>
          <w:noProof/>
        </w:rPr>
        <w:t>(10), 2074–2102.</w:t>
      </w:r>
    </w:p>
    <w:p w:rsidR="0023337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Kementerian Keuangan Republik Indonesia. (2021). </w:t>
      </w:r>
      <w:r w:rsidRPr="00E06562">
        <w:rPr>
          <w:rFonts w:ascii="Times New Roman" w:hAnsi="Times New Roman" w:cs="Times New Roman"/>
          <w:i/>
          <w:iCs/>
          <w:noProof/>
        </w:rPr>
        <w:t>APBN Kita Kinerja dan Fakta</w:t>
      </w:r>
      <w:r w:rsidRPr="00E06562">
        <w:rPr>
          <w:rFonts w:ascii="Times New Roman" w:hAnsi="Times New Roman" w:cs="Times New Roman"/>
          <w:noProof/>
        </w:rPr>
        <w:t>.</w:t>
      </w:r>
      <w:r w:rsidRPr="00E06562">
        <w:rPr>
          <w:rFonts w:ascii="Times New Roman" w:hAnsi="Times New Roman" w:cs="Times New Roman"/>
          <w:noProof/>
          <w:lang w:val="id-ID"/>
        </w:rPr>
        <w:t xml:space="preserve"> </w:t>
      </w:r>
      <w:r w:rsidRPr="00E06562">
        <w:rPr>
          <w:rFonts w:ascii="Times New Roman" w:hAnsi="Times New Roman" w:cs="Times New Roman"/>
          <w:noProof/>
        </w:rPr>
        <w:t>Jakarta: Kementerian Keuangan Republik Indonesia</w:t>
      </w:r>
    </w:p>
    <w:p w:rsidR="00F8570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Koopmann, A., Georgiadou, E., Reinhard, I., Müller, A., Lemenager, T., Kiefer, F., &amp; Hillemacher, T. (2021). The Effects of the Lockdown during the COVID-19 Pandemic on Alcohol and Tobacco Consumption Behavior in Germany. </w:t>
      </w:r>
      <w:r w:rsidRPr="00E06562">
        <w:rPr>
          <w:rFonts w:ascii="Times New Roman" w:hAnsi="Times New Roman" w:cs="Times New Roman"/>
          <w:i/>
          <w:iCs/>
          <w:noProof/>
        </w:rPr>
        <w:t>European Addiction Research</w:t>
      </w:r>
      <w:r w:rsidRPr="00E06562">
        <w:rPr>
          <w:rFonts w:ascii="Times New Roman" w:hAnsi="Times New Roman" w:cs="Times New Roman"/>
          <w:noProof/>
        </w:rPr>
        <w:t xml:space="preserve">, </w:t>
      </w:r>
      <w:r w:rsidRPr="00E06562">
        <w:rPr>
          <w:rFonts w:ascii="Times New Roman" w:hAnsi="Times New Roman" w:cs="Times New Roman"/>
          <w:i/>
          <w:iCs/>
          <w:noProof/>
        </w:rPr>
        <w:t>27</w:t>
      </w:r>
      <w:r w:rsidRPr="00E06562">
        <w:rPr>
          <w:rFonts w:ascii="Times New Roman" w:hAnsi="Times New Roman" w:cs="Times New Roman"/>
          <w:noProof/>
        </w:rPr>
        <w:t xml:space="preserve">(4), 242–256. </w:t>
      </w:r>
    </w:p>
    <w:p w:rsidR="00F8570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Mardliyah, W. L. (2021). Perilaku Merokok terus Meningkat selama Pandemi COVID-19; Bagaimana Mengatasainya?</w:t>
      </w:r>
      <w:r w:rsidRPr="00E06562">
        <w:rPr>
          <w:rFonts w:ascii="Times New Roman" w:hAnsi="Times New Roman" w:cs="Times New Roman"/>
          <w:noProof/>
          <w:lang w:val="id-ID"/>
        </w:rPr>
        <w:t xml:space="preserve"> </w:t>
      </w:r>
      <w:r w:rsidRPr="00E06562">
        <w:rPr>
          <w:rFonts w:ascii="Times New Roman" w:hAnsi="Times New Roman" w:cs="Times New Roman"/>
          <w:noProof/>
        </w:rPr>
        <w:t>Retrieved from Pusat Jantung Nasional</w:t>
      </w:r>
      <w:r w:rsidRPr="00E06562">
        <w:rPr>
          <w:rFonts w:ascii="Times New Roman" w:hAnsi="Times New Roman" w:cs="Times New Roman"/>
          <w:noProof/>
          <w:lang w:val="id-ID"/>
        </w:rPr>
        <w:t>. Diakses dari</w:t>
      </w:r>
      <w:r w:rsidRPr="00E06562">
        <w:rPr>
          <w:rFonts w:ascii="Times New Roman" w:hAnsi="Times New Roman" w:cs="Times New Roman"/>
          <w:noProof/>
        </w:rPr>
        <w:t>: https://pjnhk.go.id/artikel/perilaku-merokok-terus-meningkat-selama-pandemi-covid-19-bagaimana-mengatasinya</w:t>
      </w:r>
    </w:p>
    <w:p w:rsidR="00F8570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Martono, N. (2014). </w:t>
      </w:r>
      <w:r w:rsidRPr="00E06562">
        <w:rPr>
          <w:rFonts w:ascii="Times New Roman" w:hAnsi="Times New Roman" w:cs="Times New Roman"/>
          <w:i/>
          <w:iCs/>
          <w:noProof/>
        </w:rPr>
        <w:t>Penelitian Kuantitatif : Analisis Isi dan Analisis Data Sekunder</w:t>
      </w:r>
      <w:r w:rsidRPr="00E06562">
        <w:rPr>
          <w:rFonts w:ascii="Times New Roman" w:hAnsi="Times New Roman" w:cs="Times New Roman"/>
          <w:noProof/>
        </w:rPr>
        <w:t xml:space="preserve"> (Revisi 2). Jakarta: PT RajaGrafindo Persada.</w:t>
      </w:r>
    </w:p>
    <w:p w:rsidR="00F46D77" w:rsidRPr="00E06562" w:rsidRDefault="00F46D77"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color w:val="000000" w:themeColor="text1"/>
        </w:rPr>
        <w:t xml:space="preserve">Megagita, N.D.G.P., Z. Abidin, dan K. Murniati. (2021). Competitiveness of Indonesia's Turmeric Commodity in International Market: Using RCA and EPD Approaches. </w:t>
      </w:r>
      <w:r w:rsidRPr="00E06562">
        <w:rPr>
          <w:rFonts w:ascii="Times New Roman" w:hAnsi="Times New Roman" w:cs="Times New Roman"/>
          <w:i/>
          <w:noProof/>
          <w:color w:val="000000" w:themeColor="text1"/>
        </w:rPr>
        <w:t>Journal of Food System and Agribusiness, 5</w:t>
      </w:r>
      <w:r w:rsidRPr="00E06562">
        <w:rPr>
          <w:rFonts w:ascii="Times New Roman" w:hAnsi="Times New Roman" w:cs="Times New Roman"/>
          <w:noProof/>
          <w:color w:val="000000" w:themeColor="text1"/>
        </w:rPr>
        <w:t>(2): 178-183.</w:t>
      </w:r>
    </w:p>
    <w:p w:rsidR="005D0517"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Mistry, S. K., Ali, A. R. M. M., Rahman, M. A., Yadav, U. N., Gupta, B., Rahman, M. A., &amp; Huque, R. (2021). Changes in Tobacco Use Patterns during COVID-19 and Their Correlates among Older Adults in Bangladesh. </w:t>
      </w:r>
      <w:r w:rsidRPr="00E06562">
        <w:rPr>
          <w:rFonts w:ascii="Times New Roman" w:hAnsi="Times New Roman" w:cs="Times New Roman"/>
          <w:i/>
          <w:iCs/>
          <w:noProof/>
        </w:rPr>
        <w:t>International Journal of Environmental Research and Public Health</w:t>
      </w:r>
      <w:r w:rsidRPr="00E06562">
        <w:rPr>
          <w:rFonts w:ascii="Times New Roman" w:hAnsi="Times New Roman" w:cs="Times New Roman"/>
          <w:noProof/>
        </w:rPr>
        <w:t xml:space="preserve">, </w:t>
      </w:r>
      <w:r w:rsidRPr="00E06562">
        <w:rPr>
          <w:rFonts w:ascii="Times New Roman" w:hAnsi="Times New Roman" w:cs="Times New Roman"/>
          <w:i/>
          <w:iCs/>
          <w:noProof/>
        </w:rPr>
        <w:t>18</w:t>
      </w:r>
      <w:r w:rsidRPr="00E06562">
        <w:rPr>
          <w:rFonts w:ascii="Times New Roman" w:hAnsi="Times New Roman" w:cs="Times New Roman"/>
          <w:noProof/>
        </w:rPr>
        <w:t>(4), 1–10.</w:t>
      </w:r>
    </w:p>
    <w:p w:rsidR="002273E4" w:rsidRPr="00E06562" w:rsidRDefault="002273E4"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color w:val="000000" w:themeColor="text1"/>
        </w:rPr>
        <w:t xml:space="preserve">Putri, R.M., A. Rifin, dan Erwidodo. (2021). Analisis Perdagangan Intra Industri Regional Comprehensive Economic Partnership (RCEP) pada Produk Pertanian. </w:t>
      </w:r>
      <w:r w:rsidRPr="00E06562">
        <w:rPr>
          <w:rFonts w:ascii="Times New Roman" w:hAnsi="Times New Roman" w:cs="Times New Roman"/>
          <w:i/>
          <w:noProof/>
          <w:color w:val="000000" w:themeColor="text1"/>
        </w:rPr>
        <w:t>Buletin Ilmiah Litbang Perdagangan, 15</w:t>
      </w:r>
      <w:r w:rsidRPr="00E06562">
        <w:rPr>
          <w:rFonts w:ascii="Times New Roman" w:hAnsi="Times New Roman" w:cs="Times New Roman"/>
          <w:noProof/>
          <w:color w:val="000000" w:themeColor="text1"/>
        </w:rPr>
        <w:t>(2), 181-208</w:t>
      </w:r>
    </w:p>
    <w:p w:rsidR="00F8570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Rachmat, M., &amp; Nuryanti, S. (2009). Dinamika Agribisnis Tembakau Dunia dan Implikasinya bagi Indonesia. </w:t>
      </w:r>
      <w:r w:rsidRPr="00E06562">
        <w:rPr>
          <w:rFonts w:ascii="Times New Roman" w:hAnsi="Times New Roman" w:cs="Times New Roman"/>
          <w:i/>
          <w:iCs/>
          <w:noProof/>
        </w:rPr>
        <w:t>Forum P</w:t>
      </w:r>
      <w:r w:rsidRPr="00E06562">
        <w:rPr>
          <w:rFonts w:ascii="Times New Roman" w:hAnsi="Times New Roman" w:cs="Times New Roman"/>
          <w:i/>
          <w:iCs/>
          <w:noProof/>
          <w:lang w:val="id-ID"/>
        </w:rPr>
        <w:t>e</w:t>
      </w:r>
      <w:r w:rsidRPr="00E06562">
        <w:rPr>
          <w:rFonts w:ascii="Times New Roman" w:hAnsi="Times New Roman" w:cs="Times New Roman"/>
          <w:i/>
          <w:iCs/>
          <w:noProof/>
        </w:rPr>
        <w:t>nelitian Agro Ekonomi</w:t>
      </w:r>
      <w:r w:rsidRPr="00E06562">
        <w:rPr>
          <w:rFonts w:ascii="Times New Roman" w:hAnsi="Times New Roman" w:cs="Times New Roman"/>
          <w:noProof/>
        </w:rPr>
        <w:t xml:space="preserve">, </w:t>
      </w:r>
      <w:r w:rsidRPr="00E06562">
        <w:rPr>
          <w:rFonts w:ascii="Times New Roman" w:hAnsi="Times New Roman" w:cs="Times New Roman"/>
          <w:i/>
          <w:iCs/>
          <w:noProof/>
        </w:rPr>
        <w:t>27</w:t>
      </w:r>
      <w:r w:rsidRPr="00E06562">
        <w:rPr>
          <w:rFonts w:ascii="Times New Roman" w:hAnsi="Times New Roman" w:cs="Times New Roman"/>
          <w:noProof/>
        </w:rPr>
        <w:t>(2), 73–91.</w:t>
      </w:r>
    </w:p>
    <w:p w:rsidR="00F8570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Rasyid, M., Oktavianti, H., &amp; Kristina, A. (2018). Daya Saing Komoditas Tembakau Indonesia Dan Implikasinya Terhadap Produksi dalam Negeri. </w:t>
      </w:r>
      <w:r w:rsidRPr="00E06562">
        <w:rPr>
          <w:rFonts w:ascii="Times New Roman" w:hAnsi="Times New Roman" w:cs="Times New Roman"/>
          <w:i/>
          <w:iCs/>
          <w:noProof/>
        </w:rPr>
        <w:t>Media Trend</w:t>
      </w:r>
      <w:r w:rsidRPr="00E06562">
        <w:rPr>
          <w:rFonts w:ascii="Times New Roman" w:hAnsi="Times New Roman" w:cs="Times New Roman"/>
          <w:noProof/>
        </w:rPr>
        <w:t xml:space="preserve">, </w:t>
      </w:r>
      <w:r w:rsidRPr="00E06562">
        <w:rPr>
          <w:rFonts w:ascii="Times New Roman" w:hAnsi="Times New Roman" w:cs="Times New Roman"/>
          <w:i/>
          <w:iCs/>
          <w:noProof/>
        </w:rPr>
        <w:t>13</w:t>
      </w:r>
      <w:r w:rsidRPr="00E06562">
        <w:rPr>
          <w:rFonts w:ascii="Times New Roman" w:hAnsi="Times New Roman" w:cs="Times New Roman"/>
          <w:noProof/>
        </w:rPr>
        <w:t xml:space="preserve">(2), 308–319. </w:t>
      </w:r>
    </w:p>
    <w:p w:rsidR="00E06562" w:rsidRPr="00E06562" w:rsidRDefault="00F85700" w:rsidP="000422A6">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Riski, P. (2021). Konsumsi Rokok Masih Tinggi selama Pandemi, Cukai Rokok Diminta Naik. Retrieved from VOA Indonesia </w:t>
      </w:r>
      <w:r w:rsidRPr="00E06562">
        <w:rPr>
          <w:rFonts w:ascii="Times New Roman" w:hAnsi="Times New Roman" w:cs="Times New Roman"/>
          <w:noProof/>
          <w:lang w:val="id-ID"/>
        </w:rPr>
        <w:t>Diakses dari</w:t>
      </w:r>
      <w:r w:rsidRPr="00E06562">
        <w:rPr>
          <w:rFonts w:ascii="Times New Roman" w:hAnsi="Times New Roman" w:cs="Times New Roman"/>
          <w:noProof/>
        </w:rPr>
        <w:t>: https://www.voaindonesia.com/a/konsumsi-rokok-masih-tinggi-selama-pandemi-cukai-</w:t>
      </w:r>
      <w:r w:rsidR="009B04A8" w:rsidRPr="00E06562">
        <w:rPr>
          <w:rFonts w:ascii="Times New Roman" w:hAnsi="Times New Roman" w:cs="Times New Roman"/>
          <w:noProof/>
        </w:rPr>
        <w:t>rokok-diminta-naik/6002479.html</w:t>
      </w:r>
    </w:p>
    <w:p w:rsidR="000422A6" w:rsidRPr="004720CE" w:rsidRDefault="00F85700" w:rsidP="004720CE">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Senaratne, R., Amaratunga, D., Mendis, S., &amp; Athukorala, P. C. (2021). </w:t>
      </w:r>
      <w:r w:rsidRPr="00E06562">
        <w:rPr>
          <w:rFonts w:ascii="Times New Roman" w:hAnsi="Times New Roman" w:cs="Times New Roman"/>
          <w:i/>
          <w:iCs/>
          <w:noProof/>
        </w:rPr>
        <w:t>COVID 19: Impact, Mitigation, Opportunities and Building Resilience</w:t>
      </w:r>
      <w:r w:rsidRPr="00E06562">
        <w:rPr>
          <w:rFonts w:ascii="Times New Roman" w:hAnsi="Times New Roman" w:cs="Times New Roman"/>
          <w:noProof/>
        </w:rPr>
        <w:t>.</w:t>
      </w:r>
      <w:r w:rsidRPr="00E06562">
        <w:rPr>
          <w:rFonts w:ascii="Times New Roman" w:hAnsi="Times New Roman" w:cs="Times New Roman"/>
          <w:noProof/>
          <w:lang w:val="id-ID"/>
        </w:rPr>
        <w:t xml:space="preserve"> </w:t>
      </w:r>
      <w:r w:rsidRPr="00E06562">
        <w:rPr>
          <w:rFonts w:ascii="Times New Roman" w:hAnsi="Times New Roman" w:cs="Times New Roman"/>
          <w:noProof/>
        </w:rPr>
        <w:t>Colombo: National Science Foundation</w:t>
      </w:r>
    </w:p>
    <w:p w:rsidR="00FF4665"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Statista. (2021). Leading Tobacco Producing Countries Worldwide in 2019 (in 1.000 Metric Tons). Retrieved from Statista </w:t>
      </w:r>
      <w:r w:rsidRPr="00E06562">
        <w:rPr>
          <w:rFonts w:ascii="Times New Roman" w:hAnsi="Times New Roman" w:cs="Times New Roman"/>
          <w:noProof/>
          <w:lang w:val="id-ID"/>
        </w:rPr>
        <w:t>Diakses dari</w:t>
      </w:r>
      <w:r w:rsidRPr="00E06562">
        <w:rPr>
          <w:rFonts w:ascii="Times New Roman" w:hAnsi="Times New Roman" w:cs="Times New Roman"/>
          <w:noProof/>
        </w:rPr>
        <w:t>: https://www.statista.com/statistics/261173/leading-countries-in-tobacco-production/</w:t>
      </w:r>
    </w:p>
    <w:p w:rsidR="00F46D77" w:rsidRPr="00E06562" w:rsidRDefault="00F85700" w:rsidP="00E06562">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lastRenderedPageBreak/>
        <w:t xml:space="preserve">Sulastri, R. (2016). </w:t>
      </w:r>
      <w:r w:rsidRPr="00E06562">
        <w:rPr>
          <w:rFonts w:ascii="Times New Roman" w:hAnsi="Times New Roman" w:cs="Times New Roman"/>
          <w:i/>
          <w:iCs/>
          <w:noProof/>
        </w:rPr>
        <w:t>Analisis Daya Saing dan Faktor - Faktor yang Mempengaruhi Ekspor Tembakau Indonesia di Negara Tujuan Utama</w:t>
      </w:r>
      <w:r w:rsidRPr="00E06562">
        <w:rPr>
          <w:rFonts w:ascii="Times New Roman" w:hAnsi="Times New Roman" w:cs="Times New Roman"/>
          <w:noProof/>
        </w:rPr>
        <w:t>.</w:t>
      </w:r>
      <w:r w:rsidRPr="00E06562">
        <w:rPr>
          <w:rFonts w:ascii="Times New Roman" w:hAnsi="Times New Roman" w:cs="Times New Roman"/>
          <w:noProof/>
          <w:lang w:val="id-ID"/>
        </w:rPr>
        <w:t xml:space="preserve"> </w:t>
      </w:r>
      <w:r w:rsidR="00F97D35" w:rsidRPr="00E06562">
        <w:rPr>
          <w:rFonts w:ascii="Times New Roman" w:hAnsi="Times New Roman" w:cs="Times New Roman"/>
          <w:noProof/>
        </w:rPr>
        <w:t>Universitas Andalas</w:t>
      </w:r>
    </w:p>
    <w:p w:rsidR="00F8570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Suryana, D. A. P. (2016). Pengaruh Kebijakan Pengambangan IHT (Industri Hasil Tembakau) terhadap Ekspor Tembakau Indonesia ke Jerman (2009-2012). </w:t>
      </w:r>
      <w:r w:rsidRPr="00E06562">
        <w:rPr>
          <w:rFonts w:ascii="Times New Roman" w:hAnsi="Times New Roman" w:cs="Times New Roman"/>
          <w:i/>
          <w:iCs/>
          <w:noProof/>
        </w:rPr>
        <w:t>JOM Fisip</w:t>
      </w:r>
      <w:r w:rsidRPr="00E06562">
        <w:rPr>
          <w:rFonts w:ascii="Times New Roman" w:hAnsi="Times New Roman" w:cs="Times New Roman"/>
          <w:noProof/>
        </w:rPr>
        <w:t xml:space="preserve">, </w:t>
      </w:r>
      <w:r w:rsidRPr="00E06562">
        <w:rPr>
          <w:rFonts w:ascii="Times New Roman" w:hAnsi="Times New Roman" w:cs="Times New Roman"/>
          <w:i/>
          <w:iCs/>
          <w:noProof/>
        </w:rPr>
        <w:t>3</w:t>
      </w:r>
      <w:r w:rsidRPr="00E06562">
        <w:rPr>
          <w:rFonts w:ascii="Times New Roman" w:hAnsi="Times New Roman" w:cs="Times New Roman"/>
          <w:noProof/>
        </w:rPr>
        <w:t>(1), 1–14.</w:t>
      </w:r>
    </w:p>
    <w:p w:rsidR="00F85700" w:rsidRPr="00E06562" w:rsidRDefault="00F85700" w:rsidP="00CB146D">
      <w:pPr>
        <w:widowControl w:val="0"/>
        <w:autoSpaceDE w:val="0"/>
        <w:autoSpaceDN w:val="0"/>
        <w:adjustRightInd w:val="0"/>
        <w:spacing w:after="0" w:line="240" w:lineRule="auto"/>
        <w:ind w:left="480" w:hanging="480"/>
        <w:jc w:val="both"/>
        <w:rPr>
          <w:rStyle w:val="Hyperlink"/>
          <w:rFonts w:ascii="Times New Roman" w:hAnsi="Times New Roman" w:cs="Times New Roman"/>
        </w:rPr>
      </w:pPr>
      <w:r w:rsidRPr="00E06562">
        <w:rPr>
          <w:rFonts w:ascii="Times New Roman" w:hAnsi="Times New Roman" w:cs="Times New Roman"/>
          <w:noProof/>
        </w:rPr>
        <w:t>UN Comtrade. (2021). UN Comtrade Database.</w:t>
      </w:r>
      <w:r w:rsidRPr="00E06562">
        <w:rPr>
          <w:rFonts w:ascii="Times New Roman" w:hAnsi="Times New Roman" w:cs="Times New Roman"/>
          <w:noProof/>
          <w:lang w:val="id-ID"/>
        </w:rPr>
        <w:t xml:space="preserve"> Diakses dari </w:t>
      </w:r>
      <w:hyperlink r:id="rId10" w:history="1">
        <w:r w:rsidRPr="00E06562">
          <w:rPr>
            <w:rStyle w:val="Hyperlink"/>
            <w:rFonts w:ascii="Times New Roman" w:hAnsi="Times New Roman" w:cs="Times New Roman"/>
          </w:rPr>
          <w:t>https://comtrade.un.org/data</w:t>
        </w:r>
      </w:hyperlink>
    </w:p>
    <w:p w:rsidR="00F46D77" w:rsidRPr="00E06562" w:rsidRDefault="00F46D77" w:rsidP="00CB146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E06562">
        <w:rPr>
          <w:rFonts w:ascii="Times New Roman" w:hAnsi="Times New Roman" w:cs="Times New Roman"/>
          <w:noProof/>
          <w:color w:val="000000" w:themeColor="text1"/>
        </w:rPr>
        <w:t xml:space="preserve">Wardani, M.A. dan S. Mulatsih. (2017). Analisis Daya Saing dan Faktor-faktor yang Mempengaruhi Ekspor Ban Indonesia ke Kawasan Amerika Latin. </w:t>
      </w:r>
      <w:r w:rsidRPr="00E06562">
        <w:rPr>
          <w:rFonts w:ascii="Times New Roman" w:hAnsi="Times New Roman" w:cs="Times New Roman"/>
          <w:i/>
          <w:noProof/>
          <w:color w:val="000000" w:themeColor="text1"/>
        </w:rPr>
        <w:t>Ekonomi dan Kebijakan Pembangunan, 6</w:t>
      </w:r>
      <w:r w:rsidRPr="00E06562">
        <w:rPr>
          <w:rFonts w:ascii="Times New Roman" w:hAnsi="Times New Roman" w:cs="Times New Roman"/>
          <w:noProof/>
          <w:color w:val="000000" w:themeColor="text1"/>
        </w:rPr>
        <w:t>(1), 81-100</w:t>
      </w:r>
    </w:p>
    <w:p w:rsidR="003E7EC9" w:rsidRPr="00E06562" w:rsidRDefault="003E7EC9"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color w:val="000000" w:themeColor="text1"/>
          <w:lang w:val="id-ID"/>
        </w:rPr>
        <w:t>W</w:t>
      </w:r>
      <w:r w:rsidRPr="00E06562">
        <w:rPr>
          <w:rFonts w:ascii="Times New Roman" w:hAnsi="Times New Roman" w:cs="Times New Roman"/>
          <w:noProof/>
          <w:color w:val="000000" w:themeColor="text1"/>
        </w:rPr>
        <w:t xml:space="preserve">ardani, V. A. T., &amp; Sunyigono, A. K. (2021). Daya Saing dan Faktor yang Mempengaruhi Ekspor Lada Indonesia ke India. </w:t>
      </w:r>
      <w:r w:rsidRPr="00E06562">
        <w:rPr>
          <w:rFonts w:ascii="Times New Roman" w:hAnsi="Times New Roman" w:cs="Times New Roman"/>
          <w:i/>
          <w:iCs/>
          <w:noProof/>
          <w:color w:val="000000" w:themeColor="text1"/>
        </w:rPr>
        <w:t>Jurnal Ekonomi Pertanian Dan Agribisnis</w:t>
      </w:r>
      <w:r w:rsidRPr="00E06562">
        <w:rPr>
          <w:rFonts w:ascii="Times New Roman" w:hAnsi="Times New Roman" w:cs="Times New Roman"/>
          <w:noProof/>
          <w:color w:val="000000" w:themeColor="text1"/>
        </w:rPr>
        <w:t xml:space="preserve">, </w:t>
      </w:r>
      <w:r w:rsidRPr="00E06562">
        <w:rPr>
          <w:rFonts w:ascii="Times New Roman" w:hAnsi="Times New Roman" w:cs="Times New Roman"/>
          <w:i/>
          <w:iCs/>
          <w:noProof/>
          <w:color w:val="000000" w:themeColor="text1"/>
        </w:rPr>
        <w:t>5</w:t>
      </w:r>
      <w:r w:rsidRPr="00E06562">
        <w:rPr>
          <w:rFonts w:ascii="Times New Roman" w:hAnsi="Times New Roman" w:cs="Times New Roman"/>
          <w:noProof/>
          <w:color w:val="000000" w:themeColor="text1"/>
        </w:rPr>
        <w:t>(3), 655–666</w:t>
      </w:r>
    </w:p>
    <w:p w:rsidR="00F8570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sidRPr="00E06562">
        <w:rPr>
          <w:rFonts w:ascii="Times New Roman" w:hAnsi="Times New Roman" w:cs="Times New Roman"/>
          <w:noProof/>
        </w:rPr>
        <w:t xml:space="preserve">World Health Organization. (2020). </w:t>
      </w:r>
      <w:r w:rsidRPr="00E06562">
        <w:rPr>
          <w:rFonts w:ascii="Times New Roman" w:hAnsi="Times New Roman" w:cs="Times New Roman"/>
          <w:i/>
          <w:iCs/>
          <w:noProof/>
        </w:rPr>
        <w:t>Raising Tobacco Taxes and Prices for a Healty and Prosperous Indonesia</w:t>
      </w:r>
      <w:r w:rsidRPr="00E06562">
        <w:rPr>
          <w:rFonts w:ascii="Times New Roman" w:hAnsi="Times New Roman" w:cs="Times New Roman"/>
          <w:noProof/>
        </w:rPr>
        <w:t>.</w:t>
      </w:r>
      <w:r w:rsidRPr="00E06562">
        <w:rPr>
          <w:rFonts w:ascii="Times New Roman" w:hAnsi="Times New Roman" w:cs="Times New Roman"/>
          <w:noProof/>
          <w:lang w:val="id-ID"/>
        </w:rPr>
        <w:t xml:space="preserve"> New Delhi: World Health Organization.</w:t>
      </w:r>
    </w:p>
    <w:p w:rsidR="00F85700" w:rsidRPr="00E06562" w:rsidRDefault="00F85700" w:rsidP="00CB146D">
      <w:pPr>
        <w:widowControl w:val="0"/>
        <w:autoSpaceDE w:val="0"/>
        <w:autoSpaceDN w:val="0"/>
        <w:adjustRightInd w:val="0"/>
        <w:spacing w:after="0" w:line="240" w:lineRule="auto"/>
        <w:ind w:left="480" w:hanging="480"/>
        <w:jc w:val="both"/>
        <w:rPr>
          <w:rFonts w:ascii="Times New Roman" w:hAnsi="Times New Roman" w:cs="Times New Roman"/>
          <w:noProof/>
        </w:rPr>
      </w:pPr>
      <w:r w:rsidRPr="00E06562">
        <w:rPr>
          <w:rFonts w:ascii="Times New Roman" w:hAnsi="Times New Roman" w:cs="Times New Roman"/>
          <w:noProof/>
        </w:rPr>
        <w:t xml:space="preserve">Yofa, R. D., Erwidodo, &amp; Suryani, E. (2020). Dampak Pandemi Covid-19 terhadap Ekspor dan Impor Komoditas Pertanian. </w:t>
      </w:r>
      <w:r w:rsidRPr="00E06562">
        <w:rPr>
          <w:rFonts w:ascii="Times New Roman" w:hAnsi="Times New Roman" w:cs="Times New Roman"/>
          <w:i/>
          <w:iCs/>
          <w:noProof/>
        </w:rPr>
        <w:t>Pusat Sosial Ekonomi dan Kebijakan Pertanian</w:t>
      </w:r>
      <w:r w:rsidRPr="00E06562">
        <w:rPr>
          <w:rFonts w:ascii="Times New Roman" w:hAnsi="Times New Roman" w:cs="Times New Roman"/>
          <w:noProof/>
        </w:rPr>
        <w:t>.</w:t>
      </w:r>
    </w:p>
    <w:p w:rsidR="00F85700" w:rsidRPr="00BE6EE7" w:rsidRDefault="00F85700" w:rsidP="00CB146D">
      <w:pPr>
        <w:widowControl w:val="0"/>
        <w:autoSpaceDE w:val="0"/>
        <w:autoSpaceDN w:val="0"/>
        <w:adjustRightInd w:val="0"/>
        <w:spacing w:after="0" w:line="240" w:lineRule="auto"/>
        <w:ind w:left="480" w:hanging="480"/>
        <w:rPr>
          <w:rFonts w:ascii="Times New Roman" w:hAnsi="Times New Roman" w:cs="Times New Roman"/>
          <w:noProof/>
        </w:rPr>
      </w:pPr>
      <w:r w:rsidRPr="00E06562">
        <w:rPr>
          <w:rFonts w:ascii="Times New Roman" w:hAnsi="Times New Roman" w:cs="Times New Roman"/>
          <w:noProof/>
        </w:rPr>
        <w:t xml:space="preserve">Zainuddin, A., Magfiroh, I. S., Setyawati, I. K., &amp; Rahman, R. Y. (2018). Agribisnis Tembakau, Membuka Ruang Inovasi dan Bisnis untuk Kemajuan Industri. Bogor: </w:t>
      </w:r>
      <w:r w:rsidRPr="00E06562">
        <w:rPr>
          <w:rFonts w:ascii="Times New Roman" w:hAnsi="Times New Roman" w:cs="Times New Roman"/>
          <w:i/>
          <w:iCs/>
          <w:noProof/>
        </w:rPr>
        <w:t>IPB Press</w:t>
      </w:r>
      <w:r w:rsidRPr="00E06562">
        <w:rPr>
          <w:rFonts w:ascii="Times New Roman" w:hAnsi="Times New Roman" w:cs="Times New Roman"/>
          <w:noProof/>
        </w:rPr>
        <w:t>.</w:t>
      </w:r>
    </w:p>
    <w:p w:rsidR="00D91545" w:rsidRPr="00BE6EE7" w:rsidRDefault="00F85700" w:rsidP="00CB146D">
      <w:pPr>
        <w:spacing w:after="0" w:line="240" w:lineRule="auto"/>
        <w:jc w:val="both"/>
        <w:rPr>
          <w:rFonts w:ascii="Times New Roman" w:hAnsi="Times New Roman" w:cs="Times New Roman"/>
          <w:lang w:val="id-ID"/>
        </w:rPr>
      </w:pPr>
      <w:r w:rsidRPr="00BE6EE7">
        <w:rPr>
          <w:rFonts w:ascii="Times New Roman" w:hAnsi="Times New Roman" w:cs="Times New Roman"/>
          <w:lang w:val="id-ID"/>
        </w:rPr>
        <w:fldChar w:fldCharType="end"/>
      </w:r>
      <w:bookmarkStart w:id="0" w:name="_GoBack"/>
      <w:bookmarkEnd w:id="0"/>
    </w:p>
    <w:sectPr w:rsidR="00D91545" w:rsidRPr="00BE6EE7" w:rsidSect="00CB0C7B">
      <w:headerReference w:type="default" r:id="rId11"/>
      <w:footerReference w:type="default" r:id="rId12"/>
      <w:pgSz w:w="11907" w:h="16839" w:code="9"/>
      <w:pgMar w:top="2268" w:right="1701" w:bottom="1701" w:left="2268"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D8" w:rsidRDefault="00E27ED8" w:rsidP="00D011FB">
      <w:pPr>
        <w:spacing w:after="0" w:line="240" w:lineRule="auto"/>
      </w:pPr>
      <w:r>
        <w:separator/>
      </w:r>
    </w:p>
  </w:endnote>
  <w:endnote w:type="continuationSeparator" w:id="0">
    <w:p w:rsidR="00E27ED8" w:rsidRDefault="00E27ED8" w:rsidP="00D0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C6" w:rsidRDefault="00EE4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D8" w:rsidRDefault="00E27ED8" w:rsidP="00D011FB">
      <w:pPr>
        <w:spacing w:after="0" w:line="240" w:lineRule="auto"/>
      </w:pPr>
      <w:r>
        <w:separator/>
      </w:r>
    </w:p>
  </w:footnote>
  <w:footnote w:type="continuationSeparator" w:id="0">
    <w:p w:rsidR="00E27ED8" w:rsidRDefault="00E27ED8" w:rsidP="00D01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C6" w:rsidRPr="00EE4EC6" w:rsidRDefault="00EE4EC6" w:rsidP="00EE4EC6">
    <w:pPr>
      <w:tabs>
        <w:tab w:val="left" w:pos="7088"/>
      </w:tabs>
      <w:spacing w:after="0"/>
      <w:rPr>
        <w:rFonts w:ascii="Times New Roman" w:eastAsia="MS Mincho" w:hAnsi="Times New Roman" w:cs="Times New Roman"/>
        <w:b/>
        <w:i/>
        <w:sz w:val="24"/>
        <w:szCs w:val="24"/>
        <w:lang w:eastAsia="ja-JP"/>
      </w:rPr>
    </w:pPr>
    <w:r w:rsidRPr="00EE4EC6">
      <w:rPr>
        <w:rFonts w:ascii="Times New Roman" w:eastAsia="MS Mincho" w:hAnsi="Times New Roman" w:cs="Times New Roman"/>
        <w:b/>
        <w:i/>
        <w:sz w:val="24"/>
        <w:szCs w:val="24"/>
        <w:lang w:eastAsia="ja-JP"/>
      </w:rPr>
      <w:t xml:space="preserve">SEPA : Vol. XX No.X Month Year : Page   </w:t>
    </w:r>
    <w:r w:rsidRPr="00EE4EC6">
      <w:rPr>
        <w:rFonts w:ascii="Times New Roman" w:eastAsia="MS Mincho" w:hAnsi="Times New Roman" w:cs="Times New Roman"/>
        <w:b/>
        <w:i/>
        <w:sz w:val="24"/>
        <w:szCs w:val="24"/>
        <w:lang w:eastAsia="ja-JP"/>
      </w:rPr>
      <w:t xml:space="preserve">                              </w:t>
    </w:r>
    <w:r w:rsidRPr="00EE4EC6">
      <w:rPr>
        <w:rFonts w:ascii="Times New Roman" w:eastAsia="MS Mincho" w:hAnsi="Times New Roman" w:cs="Times New Roman"/>
        <w:b/>
        <w:i/>
        <w:sz w:val="24"/>
        <w:szCs w:val="24"/>
        <w:lang w:eastAsia="ja-JP"/>
      </w:rPr>
      <w:t xml:space="preserve"> ISSN : 1829-9946</w:t>
    </w:r>
  </w:p>
  <w:p w:rsidR="00EE4EC6" w:rsidRPr="00EE4EC6" w:rsidRDefault="00EE4EC6" w:rsidP="00EE4EC6">
    <w:pPr>
      <w:tabs>
        <w:tab w:val="left" w:pos="7088"/>
      </w:tabs>
      <w:spacing w:after="0"/>
      <w:rPr>
        <w:rFonts w:ascii="Times New Roman" w:eastAsia="MS Mincho" w:hAnsi="Times New Roman" w:cs="Times New Roman"/>
        <w:bCs/>
        <w:iCs/>
        <w:sz w:val="24"/>
        <w:szCs w:val="24"/>
        <w:lang w:eastAsia="ja-JP"/>
      </w:rPr>
    </w:pPr>
    <w:r w:rsidRPr="00EE4EC6">
      <w:rPr>
        <w:rFonts w:ascii="Times New Roman" w:eastAsia="MS Mincho" w:hAnsi="Times New Roman" w:cs="Times New Roman"/>
        <w:bCs/>
        <w:iCs/>
        <w:sz w:val="24"/>
        <w:szCs w:val="24"/>
        <w:lang w:eastAsia="ja-JP"/>
      </w:rPr>
      <w:t>DOI: https://doi.org/10.20961/sepa.vXXiX.12345</w:t>
    </w:r>
  </w:p>
  <w:p w:rsidR="00CB146D" w:rsidRDefault="00CB14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C6" w:rsidRDefault="00EE4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17CB"/>
    <w:multiLevelType w:val="multilevel"/>
    <w:tmpl w:val="62467050"/>
    <w:lvl w:ilvl="0">
      <w:start w:val="1"/>
      <w:numFmt w:val="decimal"/>
      <w:lvlText w:val="%1."/>
      <w:lvlJc w:val="left"/>
      <w:pPr>
        <w:ind w:left="730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0E3541"/>
    <w:multiLevelType w:val="hybridMultilevel"/>
    <w:tmpl w:val="5B52B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01F73FB"/>
    <w:multiLevelType w:val="multilevel"/>
    <w:tmpl w:val="6F3818C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5651F72"/>
    <w:multiLevelType w:val="multilevel"/>
    <w:tmpl w:val="3C120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DA3E1A"/>
    <w:multiLevelType w:val="multilevel"/>
    <w:tmpl w:val="3C120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84E787A"/>
    <w:multiLevelType w:val="hybridMultilevel"/>
    <w:tmpl w:val="38B4C680"/>
    <w:lvl w:ilvl="0" w:tplc="04090019">
      <w:start w:val="1"/>
      <w:numFmt w:val="lowerLetter"/>
      <w:lvlText w:val="%1."/>
      <w:lvlJc w:val="lef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63E34812"/>
    <w:multiLevelType w:val="hybridMultilevel"/>
    <w:tmpl w:val="3D00928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7CA5D8F"/>
    <w:multiLevelType w:val="multilevel"/>
    <w:tmpl w:val="3C120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45"/>
    <w:rsid w:val="00007B7A"/>
    <w:rsid w:val="0001486E"/>
    <w:rsid w:val="00014BE1"/>
    <w:rsid w:val="00017E16"/>
    <w:rsid w:val="00021944"/>
    <w:rsid w:val="0003498C"/>
    <w:rsid w:val="000422A6"/>
    <w:rsid w:val="0005490E"/>
    <w:rsid w:val="000567E1"/>
    <w:rsid w:val="00073443"/>
    <w:rsid w:val="0008756C"/>
    <w:rsid w:val="000A41A1"/>
    <w:rsid w:val="000B5BA4"/>
    <w:rsid w:val="000F15D4"/>
    <w:rsid w:val="00105612"/>
    <w:rsid w:val="00114880"/>
    <w:rsid w:val="001263C1"/>
    <w:rsid w:val="0013046D"/>
    <w:rsid w:val="00133B23"/>
    <w:rsid w:val="00146119"/>
    <w:rsid w:val="00180983"/>
    <w:rsid w:val="001B5441"/>
    <w:rsid w:val="001B7633"/>
    <w:rsid w:val="001D6A38"/>
    <w:rsid w:val="001E158D"/>
    <w:rsid w:val="001E318C"/>
    <w:rsid w:val="001E5658"/>
    <w:rsid w:val="002071C9"/>
    <w:rsid w:val="00217316"/>
    <w:rsid w:val="00224D77"/>
    <w:rsid w:val="002273E4"/>
    <w:rsid w:val="00233370"/>
    <w:rsid w:val="002475D0"/>
    <w:rsid w:val="002650B7"/>
    <w:rsid w:val="00281D00"/>
    <w:rsid w:val="002A1BB4"/>
    <w:rsid w:val="002B209D"/>
    <w:rsid w:val="002B6B1C"/>
    <w:rsid w:val="002D28BF"/>
    <w:rsid w:val="002D3BB0"/>
    <w:rsid w:val="002D4F6C"/>
    <w:rsid w:val="002E4BCC"/>
    <w:rsid w:val="002F2203"/>
    <w:rsid w:val="003004D8"/>
    <w:rsid w:val="00300D28"/>
    <w:rsid w:val="00352CC6"/>
    <w:rsid w:val="0036229C"/>
    <w:rsid w:val="00373494"/>
    <w:rsid w:val="0037449C"/>
    <w:rsid w:val="0038567D"/>
    <w:rsid w:val="003B41CF"/>
    <w:rsid w:val="003C4A65"/>
    <w:rsid w:val="003C6818"/>
    <w:rsid w:val="003D0A30"/>
    <w:rsid w:val="003D449D"/>
    <w:rsid w:val="003E7EC9"/>
    <w:rsid w:val="003F7CA9"/>
    <w:rsid w:val="00402727"/>
    <w:rsid w:val="00412C0E"/>
    <w:rsid w:val="0042188D"/>
    <w:rsid w:val="0042224C"/>
    <w:rsid w:val="0042403B"/>
    <w:rsid w:val="0043706E"/>
    <w:rsid w:val="0044054C"/>
    <w:rsid w:val="00455FF4"/>
    <w:rsid w:val="004634A8"/>
    <w:rsid w:val="004657D6"/>
    <w:rsid w:val="00470587"/>
    <w:rsid w:val="004716C7"/>
    <w:rsid w:val="004720CE"/>
    <w:rsid w:val="00475AE1"/>
    <w:rsid w:val="004A279A"/>
    <w:rsid w:val="004A4B85"/>
    <w:rsid w:val="004B491D"/>
    <w:rsid w:val="004C1EEA"/>
    <w:rsid w:val="005018A1"/>
    <w:rsid w:val="00501B28"/>
    <w:rsid w:val="0053274E"/>
    <w:rsid w:val="00536392"/>
    <w:rsid w:val="0054555F"/>
    <w:rsid w:val="0056496D"/>
    <w:rsid w:val="00586A81"/>
    <w:rsid w:val="005A0E77"/>
    <w:rsid w:val="005A7120"/>
    <w:rsid w:val="005B0A9F"/>
    <w:rsid w:val="005B3AF1"/>
    <w:rsid w:val="005B7EC5"/>
    <w:rsid w:val="005D0517"/>
    <w:rsid w:val="005D3CF2"/>
    <w:rsid w:val="005D7389"/>
    <w:rsid w:val="005E068F"/>
    <w:rsid w:val="005E3497"/>
    <w:rsid w:val="006018CB"/>
    <w:rsid w:val="00603F93"/>
    <w:rsid w:val="006051F2"/>
    <w:rsid w:val="00613778"/>
    <w:rsid w:val="0062237F"/>
    <w:rsid w:val="00630080"/>
    <w:rsid w:val="00630A4C"/>
    <w:rsid w:val="006504D6"/>
    <w:rsid w:val="00666058"/>
    <w:rsid w:val="0069159C"/>
    <w:rsid w:val="006B1198"/>
    <w:rsid w:val="006D5C15"/>
    <w:rsid w:val="00700E57"/>
    <w:rsid w:val="00703673"/>
    <w:rsid w:val="007239A8"/>
    <w:rsid w:val="00763F73"/>
    <w:rsid w:val="007B35D3"/>
    <w:rsid w:val="007D3F83"/>
    <w:rsid w:val="00807C89"/>
    <w:rsid w:val="008174E5"/>
    <w:rsid w:val="00821EA9"/>
    <w:rsid w:val="00835444"/>
    <w:rsid w:val="008627C4"/>
    <w:rsid w:val="00867FE8"/>
    <w:rsid w:val="008812BA"/>
    <w:rsid w:val="008914A0"/>
    <w:rsid w:val="008A2666"/>
    <w:rsid w:val="008A4B43"/>
    <w:rsid w:val="008B2DFD"/>
    <w:rsid w:val="008B366D"/>
    <w:rsid w:val="008B58F0"/>
    <w:rsid w:val="008B5DF0"/>
    <w:rsid w:val="008C1717"/>
    <w:rsid w:val="008C3847"/>
    <w:rsid w:val="008E0580"/>
    <w:rsid w:val="00901FB3"/>
    <w:rsid w:val="009076D6"/>
    <w:rsid w:val="009145D2"/>
    <w:rsid w:val="00920731"/>
    <w:rsid w:val="00921F9F"/>
    <w:rsid w:val="00923AC8"/>
    <w:rsid w:val="00924002"/>
    <w:rsid w:val="009454EE"/>
    <w:rsid w:val="009572E5"/>
    <w:rsid w:val="009604EA"/>
    <w:rsid w:val="009751DA"/>
    <w:rsid w:val="009946DD"/>
    <w:rsid w:val="00997177"/>
    <w:rsid w:val="009B04A8"/>
    <w:rsid w:val="009B109B"/>
    <w:rsid w:val="009B4469"/>
    <w:rsid w:val="009C6CFA"/>
    <w:rsid w:val="009E15CD"/>
    <w:rsid w:val="009F122B"/>
    <w:rsid w:val="009F54D5"/>
    <w:rsid w:val="009F7A5E"/>
    <w:rsid w:val="00A032AC"/>
    <w:rsid w:val="00A05D5C"/>
    <w:rsid w:val="00A07A9A"/>
    <w:rsid w:val="00A10B9A"/>
    <w:rsid w:val="00A11559"/>
    <w:rsid w:val="00A14030"/>
    <w:rsid w:val="00A1609E"/>
    <w:rsid w:val="00A345C2"/>
    <w:rsid w:val="00A60B2A"/>
    <w:rsid w:val="00A70953"/>
    <w:rsid w:val="00A81E55"/>
    <w:rsid w:val="00A836A6"/>
    <w:rsid w:val="00AA1445"/>
    <w:rsid w:val="00AB3080"/>
    <w:rsid w:val="00AD2C6C"/>
    <w:rsid w:val="00AE1AF0"/>
    <w:rsid w:val="00AE3BEF"/>
    <w:rsid w:val="00AE3DFA"/>
    <w:rsid w:val="00AF6E23"/>
    <w:rsid w:val="00B04BCA"/>
    <w:rsid w:val="00B24B50"/>
    <w:rsid w:val="00B34372"/>
    <w:rsid w:val="00B44AA6"/>
    <w:rsid w:val="00B44F42"/>
    <w:rsid w:val="00B47345"/>
    <w:rsid w:val="00B51F95"/>
    <w:rsid w:val="00B55AB4"/>
    <w:rsid w:val="00B566AD"/>
    <w:rsid w:val="00B90B61"/>
    <w:rsid w:val="00BA2D58"/>
    <w:rsid w:val="00BA6CB9"/>
    <w:rsid w:val="00BB217A"/>
    <w:rsid w:val="00BE3BC7"/>
    <w:rsid w:val="00BE6EE7"/>
    <w:rsid w:val="00C00CA9"/>
    <w:rsid w:val="00C038D5"/>
    <w:rsid w:val="00C20D2B"/>
    <w:rsid w:val="00C33912"/>
    <w:rsid w:val="00C345AE"/>
    <w:rsid w:val="00C53708"/>
    <w:rsid w:val="00C65C6B"/>
    <w:rsid w:val="00C70F86"/>
    <w:rsid w:val="00C71134"/>
    <w:rsid w:val="00C97B46"/>
    <w:rsid w:val="00CA2F1E"/>
    <w:rsid w:val="00CA7B6D"/>
    <w:rsid w:val="00CA7B7D"/>
    <w:rsid w:val="00CB0C7B"/>
    <w:rsid w:val="00CB144D"/>
    <w:rsid w:val="00CB146D"/>
    <w:rsid w:val="00CC5AB3"/>
    <w:rsid w:val="00D011FB"/>
    <w:rsid w:val="00D15064"/>
    <w:rsid w:val="00D21875"/>
    <w:rsid w:val="00D252BB"/>
    <w:rsid w:val="00D301C2"/>
    <w:rsid w:val="00D343C2"/>
    <w:rsid w:val="00D50911"/>
    <w:rsid w:val="00D521B8"/>
    <w:rsid w:val="00D57BF5"/>
    <w:rsid w:val="00D65911"/>
    <w:rsid w:val="00D77877"/>
    <w:rsid w:val="00D90914"/>
    <w:rsid w:val="00D91545"/>
    <w:rsid w:val="00D953FB"/>
    <w:rsid w:val="00DA006B"/>
    <w:rsid w:val="00DA01BA"/>
    <w:rsid w:val="00DB3F50"/>
    <w:rsid w:val="00DB62C7"/>
    <w:rsid w:val="00DD351D"/>
    <w:rsid w:val="00DD7327"/>
    <w:rsid w:val="00DE6D7A"/>
    <w:rsid w:val="00DF2FE2"/>
    <w:rsid w:val="00E06562"/>
    <w:rsid w:val="00E20F72"/>
    <w:rsid w:val="00E215EF"/>
    <w:rsid w:val="00E27ED8"/>
    <w:rsid w:val="00E42EF9"/>
    <w:rsid w:val="00E4442C"/>
    <w:rsid w:val="00E46E4B"/>
    <w:rsid w:val="00E66293"/>
    <w:rsid w:val="00E71EDE"/>
    <w:rsid w:val="00E7341A"/>
    <w:rsid w:val="00E74D8E"/>
    <w:rsid w:val="00E94BDF"/>
    <w:rsid w:val="00E96261"/>
    <w:rsid w:val="00EA3447"/>
    <w:rsid w:val="00ED353B"/>
    <w:rsid w:val="00EE4EC6"/>
    <w:rsid w:val="00EE585E"/>
    <w:rsid w:val="00EE77A2"/>
    <w:rsid w:val="00F33BFD"/>
    <w:rsid w:val="00F33FDD"/>
    <w:rsid w:val="00F4297D"/>
    <w:rsid w:val="00F46D77"/>
    <w:rsid w:val="00F50292"/>
    <w:rsid w:val="00F7287C"/>
    <w:rsid w:val="00F82D0E"/>
    <w:rsid w:val="00F85700"/>
    <w:rsid w:val="00F97D35"/>
    <w:rsid w:val="00FA630C"/>
    <w:rsid w:val="00FD0BFC"/>
    <w:rsid w:val="00FE2C4A"/>
    <w:rsid w:val="00FF439A"/>
    <w:rsid w:val="00FF46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157F56-DB3D-4670-99D8-9C71D173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1FB"/>
    <w:rPr>
      <w:color w:val="0563C1" w:themeColor="hyperlink"/>
      <w:u w:val="single"/>
    </w:rPr>
  </w:style>
  <w:style w:type="paragraph" w:styleId="Header">
    <w:name w:val="header"/>
    <w:basedOn w:val="Normal"/>
    <w:link w:val="HeaderChar"/>
    <w:uiPriority w:val="99"/>
    <w:unhideWhenUsed/>
    <w:rsid w:val="00D01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FB"/>
  </w:style>
  <w:style w:type="paragraph" w:styleId="Footer">
    <w:name w:val="footer"/>
    <w:basedOn w:val="Normal"/>
    <w:link w:val="FooterChar"/>
    <w:uiPriority w:val="99"/>
    <w:unhideWhenUsed/>
    <w:rsid w:val="00D01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FB"/>
  </w:style>
  <w:style w:type="paragraph" w:styleId="ListParagraph">
    <w:name w:val="List Paragraph"/>
    <w:basedOn w:val="Normal"/>
    <w:uiPriority w:val="34"/>
    <w:qFormat/>
    <w:rsid w:val="00105612"/>
    <w:pPr>
      <w:ind w:left="720"/>
      <w:contextualSpacing/>
    </w:pPr>
    <w:rPr>
      <w:rFonts w:ascii="Calibri" w:eastAsia="Calibri" w:hAnsi="Calibri" w:cs="Calibri"/>
      <w:lang w:val="id-ID"/>
    </w:rPr>
  </w:style>
  <w:style w:type="table" w:styleId="TableGrid">
    <w:name w:val="Table Grid"/>
    <w:basedOn w:val="TableNormal"/>
    <w:uiPriority w:val="39"/>
    <w:rsid w:val="00613778"/>
    <w:pPr>
      <w:spacing w:after="0" w:line="240" w:lineRule="auto"/>
    </w:pPr>
    <w:rPr>
      <w:rFonts w:ascii="Calibri" w:eastAsia="Calibri" w:hAnsi="Calibri"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912">
      <w:bodyDiv w:val="1"/>
      <w:marLeft w:val="0"/>
      <w:marRight w:val="0"/>
      <w:marTop w:val="0"/>
      <w:marBottom w:val="0"/>
      <w:divBdr>
        <w:top w:val="none" w:sz="0" w:space="0" w:color="auto"/>
        <w:left w:val="none" w:sz="0" w:space="0" w:color="auto"/>
        <w:bottom w:val="none" w:sz="0" w:space="0" w:color="auto"/>
        <w:right w:val="none" w:sz="0" w:space="0" w:color="auto"/>
      </w:divBdr>
    </w:div>
    <w:div w:id="177425584">
      <w:bodyDiv w:val="1"/>
      <w:marLeft w:val="0"/>
      <w:marRight w:val="0"/>
      <w:marTop w:val="0"/>
      <w:marBottom w:val="0"/>
      <w:divBdr>
        <w:top w:val="none" w:sz="0" w:space="0" w:color="auto"/>
        <w:left w:val="none" w:sz="0" w:space="0" w:color="auto"/>
        <w:bottom w:val="none" w:sz="0" w:space="0" w:color="auto"/>
        <w:right w:val="none" w:sz="0" w:space="0" w:color="auto"/>
      </w:divBdr>
    </w:div>
    <w:div w:id="374039783">
      <w:bodyDiv w:val="1"/>
      <w:marLeft w:val="0"/>
      <w:marRight w:val="0"/>
      <w:marTop w:val="0"/>
      <w:marBottom w:val="0"/>
      <w:divBdr>
        <w:top w:val="none" w:sz="0" w:space="0" w:color="auto"/>
        <w:left w:val="none" w:sz="0" w:space="0" w:color="auto"/>
        <w:bottom w:val="none" w:sz="0" w:space="0" w:color="auto"/>
        <w:right w:val="none" w:sz="0" w:space="0" w:color="auto"/>
      </w:divBdr>
    </w:div>
    <w:div w:id="415906541">
      <w:bodyDiv w:val="1"/>
      <w:marLeft w:val="0"/>
      <w:marRight w:val="0"/>
      <w:marTop w:val="0"/>
      <w:marBottom w:val="0"/>
      <w:divBdr>
        <w:top w:val="none" w:sz="0" w:space="0" w:color="auto"/>
        <w:left w:val="none" w:sz="0" w:space="0" w:color="auto"/>
        <w:bottom w:val="none" w:sz="0" w:space="0" w:color="auto"/>
        <w:right w:val="none" w:sz="0" w:space="0" w:color="auto"/>
      </w:divBdr>
    </w:div>
    <w:div w:id="451678124">
      <w:bodyDiv w:val="1"/>
      <w:marLeft w:val="0"/>
      <w:marRight w:val="0"/>
      <w:marTop w:val="0"/>
      <w:marBottom w:val="0"/>
      <w:divBdr>
        <w:top w:val="none" w:sz="0" w:space="0" w:color="auto"/>
        <w:left w:val="none" w:sz="0" w:space="0" w:color="auto"/>
        <w:bottom w:val="none" w:sz="0" w:space="0" w:color="auto"/>
        <w:right w:val="none" w:sz="0" w:space="0" w:color="auto"/>
      </w:divBdr>
    </w:div>
    <w:div w:id="498886789">
      <w:bodyDiv w:val="1"/>
      <w:marLeft w:val="0"/>
      <w:marRight w:val="0"/>
      <w:marTop w:val="0"/>
      <w:marBottom w:val="0"/>
      <w:divBdr>
        <w:top w:val="none" w:sz="0" w:space="0" w:color="auto"/>
        <w:left w:val="none" w:sz="0" w:space="0" w:color="auto"/>
        <w:bottom w:val="none" w:sz="0" w:space="0" w:color="auto"/>
        <w:right w:val="none" w:sz="0" w:space="0" w:color="auto"/>
      </w:divBdr>
    </w:div>
    <w:div w:id="733546462">
      <w:bodyDiv w:val="1"/>
      <w:marLeft w:val="0"/>
      <w:marRight w:val="0"/>
      <w:marTop w:val="0"/>
      <w:marBottom w:val="0"/>
      <w:divBdr>
        <w:top w:val="none" w:sz="0" w:space="0" w:color="auto"/>
        <w:left w:val="none" w:sz="0" w:space="0" w:color="auto"/>
        <w:bottom w:val="none" w:sz="0" w:space="0" w:color="auto"/>
        <w:right w:val="none" w:sz="0" w:space="0" w:color="auto"/>
      </w:divBdr>
    </w:div>
    <w:div w:id="820317748">
      <w:bodyDiv w:val="1"/>
      <w:marLeft w:val="0"/>
      <w:marRight w:val="0"/>
      <w:marTop w:val="0"/>
      <w:marBottom w:val="0"/>
      <w:divBdr>
        <w:top w:val="none" w:sz="0" w:space="0" w:color="auto"/>
        <w:left w:val="none" w:sz="0" w:space="0" w:color="auto"/>
        <w:bottom w:val="none" w:sz="0" w:space="0" w:color="auto"/>
        <w:right w:val="none" w:sz="0" w:space="0" w:color="auto"/>
      </w:divBdr>
    </w:div>
    <w:div w:id="841353500">
      <w:bodyDiv w:val="1"/>
      <w:marLeft w:val="0"/>
      <w:marRight w:val="0"/>
      <w:marTop w:val="0"/>
      <w:marBottom w:val="0"/>
      <w:divBdr>
        <w:top w:val="none" w:sz="0" w:space="0" w:color="auto"/>
        <w:left w:val="none" w:sz="0" w:space="0" w:color="auto"/>
        <w:bottom w:val="none" w:sz="0" w:space="0" w:color="auto"/>
        <w:right w:val="none" w:sz="0" w:space="0" w:color="auto"/>
      </w:divBdr>
    </w:div>
    <w:div w:id="984705392">
      <w:bodyDiv w:val="1"/>
      <w:marLeft w:val="0"/>
      <w:marRight w:val="0"/>
      <w:marTop w:val="0"/>
      <w:marBottom w:val="0"/>
      <w:divBdr>
        <w:top w:val="none" w:sz="0" w:space="0" w:color="auto"/>
        <w:left w:val="none" w:sz="0" w:space="0" w:color="auto"/>
        <w:bottom w:val="none" w:sz="0" w:space="0" w:color="auto"/>
        <w:right w:val="none" w:sz="0" w:space="0" w:color="auto"/>
      </w:divBdr>
    </w:div>
    <w:div w:id="1008558982">
      <w:bodyDiv w:val="1"/>
      <w:marLeft w:val="0"/>
      <w:marRight w:val="0"/>
      <w:marTop w:val="0"/>
      <w:marBottom w:val="0"/>
      <w:divBdr>
        <w:top w:val="none" w:sz="0" w:space="0" w:color="auto"/>
        <w:left w:val="none" w:sz="0" w:space="0" w:color="auto"/>
        <w:bottom w:val="none" w:sz="0" w:space="0" w:color="auto"/>
        <w:right w:val="none" w:sz="0" w:space="0" w:color="auto"/>
      </w:divBdr>
    </w:div>
    <w:div w:id="1032875554">
      <w:bodyDiv w:val="1"/>
      <w:marLeft w:val="0"/>
      <w:marRight w:val="0"/>
      <w:marTop w:val="0"/>
      <w:marBottom w:val="0"/>
      <w:divBdr>
        <w:top w:val="none" w:sz="0" w:space="0" w:color="auto"/>
        <w:left w:val="none" w:sz="0" w:space="0" w:color="auto"/>
        <w:bottom w:val="none" w:sz="0" w:space="0" w:color="auto"/>
        <w:right w:val="none" w:sz="0" w:space="0" w:color="auto"/>
      </w:divBdr>
    </w:div>
    <w:div w:id="1086076414">
      <w:bodyDiv w:val="1"/>
      <w:marLeft w:val="0"/>
      <w:marRight w:val="0"/>
      <w:marTop w:val="0"/>
      <w:marBottom w:val="0"/>
      <w:divBdr>
        <w:top w:val="none" w:sz="0" w:space="0" w:color="auto"/>
        <w:left w:val="none" w:sz="0" w:space="0" w:color="auto"/>
        <w:bottom w:val="none" w:sz="0" w:space="0" w:color="auto"/>
        <w:right w:val="none" w:sz="0" w:space="0" w:color="auto"/>
      </w:divBdr>
    </w:div>
    <w:div w:id="1141189764">
      <w:bodyDiv w:val="1"/>
      <w:marLeft w:val="0"/>
      <w:marRight w:val="0"/>
      <w:marTop w:val="0"/>
      <w:marBottom w:val="0"/>
      <w:divBdr>
        <w:top w:val="none" w:sz="0" w:space="0" w:color="auto"/>
        <w:left w:val="none" w:sz="0" w:space="0" w:color="auto"/>
        <w:bottom w:val="none" w:sz="0" w:space="0" w:color="auto"/>
        <w:right w:val="none" w:sz="0" w:space="0" w:color="auto"/>
      </w:divBdr>
    </w:div>
    <w:div w:id="1197308736">
      <w:bodyDiv w:val="1"/>
      <w:marLeft w:val="0"/>
      <w:marRight w:val="0"/>
      <w:marTop w:val="0"/>
      <w:marBottom w:val="0"/>
      <w:divBdr>
        <w:top w:val="none" w:sz="0" w:space="0" w:color="auto"/>
        <w:left w:val="none" w:sz="0" w:space="0" w:color="auto"/>
        <w:bottom w:val="none" w:sz="0" w:space="0" w:color="auto"/>
        <w:right w:val="none" w:sz="0" w:space="0" w:color="auto"/>
      </w:divBdr>
    </w:div>
    <w:div w:id="1365861487">
      <w:bodyDiv w:val="1"/>
      <w:marLeft w:val="0"/>
      <w:marRight w:val="0"/>
      <w:marTop w:val="0"/>
      <w:marBottom w:val="0"/>
      <w:divBdr>
        <w:top w:val="none" w:sz="0" w:space="0" w:color="auto"/>
        <w:left w:val="none" w:sz="0" w:space="0" w:color="auto"/>
        <w:bottom w:val="none" w:sz="0" w:space="0" w:color="auto"/>
        <w:right w:val="none" w:sz="0" w:space="0" w:color="auto"/>
      </w:divBdr>
    </w:div>
    <w:div w:id="1466197056">
      <w:bodyDiv w:val="1"/>
      <w:marLeft w:val="0"/>
      <w:marRight w:val="0"/>
      <w:marTop w:val="0"/>
      <w:marBottom w:val="0"/>
      <w:divBdr>
        <w:top w:val="none" w:sz="0" w:space="0" w:color="auto"/>
        <w:left w:val="none" w:sz="0" w:space="0" w:color="auto"/>
        <w:bottom w:val="none" w:sz="0" w:space="0" w:color="auto"/>
        <w:right w:val="none" w:sz="0" w:space="0" w:color="auto"/>
      </w:divBdr>
    </w:div>
    <w:div w:id="1682658076">
      <w:bodyDiv w:val="1"/>
      <w:marLeft w:val="0"/>
      <w:marRight w:val="0"/>
      <w:marTop w:val="0"/>
      <w:marBottom w:val="0"/>
      <w:divBdr>
        <w:top w:val="none" w:sz="0" w:space="0" w:color="auto"/>
        <w:left w:val="none" w:sz="0" w:space="0" w:color="auto"/>
        <w:bottom w:val="none" w:sz="0" w:space="0" w:color="auto"/>
        <w:right w:val="none" w:sz="0" w:space="0" w:color="auto"/>
      </w:divBdr>
    </w:div>
    <w:div w:id="1757285106">
      <w:bodyDiv w:val="1"/>
      <w:marLeft w:val="0"/>
      <w:marRight w:val="0"/>
      <w:marTop w:val="0"/>
      <w:marBottom w:val="0"/>
      <w:divBdr>
        <w:top w:val="none" w:sz="0" w:space="0" w:color="auto"/>
        <w:left w:val="none" w:sz="0" w:space="0" w:color="auto"/>
        <w:bottom w:val="none" w:sz="0" w:space="0" w:color="auto"/>
        <w:right w:val="none" w:sz="0" w:space="0" w:color="auto"/>
      </w:divBdr>
    </w:div>
    <w:div w:id="1826702255">
      <w:bodyDiv w:val="1"/>
      <w:marLeft w:val="0"/>
      <w:marRight w:val="0"/>
      <w:marTop w:val="0"/>
      <w:marBottom w:val="0"/>
      <w:divBdr>
        <w:top w:val="none" w:sz="0" w:space="0" w:color="auto"/>
        <w:left w:val="none" w:sz="0" w:space="0" w:color="auto"/>
        <w:bottom w:val="none" w:sz="0" w:space="0" w:color="auto"/>
        <w:right w:val="none" w:sz="0" w:space="0" w:color="auto"/>
      </w:divBdr>
    </w:div>
    <w:div w:id="19948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alujeng31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comtrade.un.org/dat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FC6E1-23F9-421D-9766-7852BFFE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14</Pages>
  <Words>15359</Words>
  <Characters>87548</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riska lujeng</dc:creator>
  <cp:keywords/>
  <dc:description/>
  <cp:lastModifiedBy>riska lujeng</cp:lastModifiedBy>
  <cp:revision>13</cp:revision>
  <cp:lastPrinted>2022-07-28T05:06:00Z</cp:lastPrinted>
  <dcterms:created xsi:type="dcterms:W3CDTF">2022-07-04T00:30:00Z</dcterms:created>
  <dcterms:modified xsi:type="dcterms:W3CDTF">2022-09-29T16:24:00Z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90903728-d2f6-3174-a649-9c0fb0c04c84</vt:lpwstr>
  </property>
  <property fmtid="{D5CDD505-2E9C-101B-9397-08002B2CF9AE}" pid="24" name="Mendeley Citation Style_1">
    <vt:lpwstr>http://www.zotero.org/styles/apa</vt:lpwstr>
  </property>
</Properties>
</file>