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D6B" w:rsidRPr="00C94F27" w:rsidRDefault="00C94F27" w:rsidP="00C94F2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PENYELESAIAN WANPRESTASI DALAM PERJANJIAN KREDIT DENGAN JAMINAN FIDUSIA (</w:t>
      </w:r>
      <w:r w:rsidR="00363B58">
        <w:rPr>
          <w:rFonts w:ascii="Times New Roman" w:hAnsi="Times New Roman" w:cs="Times New Roman"/>
          <w:b/>
          <w:sz w:val="24"/>
          <w:szCs w:val="24"/>
        </w:rPr>
        <w:t>Studi Kasus Di Koperasi Simpan Pinjam Sendang Artha Mandiri Madiun</w:t>
      </w:r>
      <w:r>
        <w:rPr>
          <w:rFonts w:ascii="Times New Roman" w:hAnsi="Times New Roman" w:cs="Times New Roman"/>
          <w:b/>
          <w:sz w:val="24"/>
          <w:szCs w:val="24"/>
        </w:rPr>
        <w:t>)</w:t>
      </w:r>
    </w:p>
    <w:p w:rsidR="009A0D6B" w:rsidRDefault="009A0D6B" w:rsidP="00C94F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Indah Nur Fajri</w:t>
      </w:r>
    </w:p>
    <w:p w:rsidR="00C94F27" w:rsidRDefault="00F0454E" w:rsidP="00C94F27">
      <w:pPr>
        <w:spacing w:after="0" w:line="240" w:lineRule="auto"/>
        <w:jc w:val="center"/>
        <w:rPr>
          <w:rFonts w:ascii="Times New Roman" w:hAnsi="Times New Roman" w:cs="Times New Roman"/>
          <w:sz w:val="24"/>
          <w:szCs w:val="24"/>
        </w:rPr>
      </w:pPr>
      <w:hyperlink r:id="rId9" w:history="1">
        <w:r w:rsidR="00327812" w:rsidRPr="00E300C4">
          <w:rPr>
            <w:rStyle w:val="Hyperlink"/>
            <w:rFonts w:ascii="Times New Roman" w:hAnsi="Times New Roman" w:cs="Times New Roman"/>
            <w:sz w:val="24"/>
            <w:szCs w:val="24"/>
          </w:rPr>
          <w:t>indahnf24@gmail.com</w:t>
        </w:r>
      </w:hyperlink>
    </w:p>
    <w:p w:rsidR="0007078D" w:rsidRDefault="00C94F27" w:rsidP="0007078D">
      <w:pPr>
        <w:spacing w:line="240" w:lineRule="auto"/>
        <w:jc w:val="center"/>
        <w:rPr>
          <w:rFonts w:ascii="Times New Roman" w:hAnsi="Times New Roman" w:cs="Times New Roman"/>
          <w:sz w:val="24"/>
          <w:szCs w:val="24"/>
        </w:rPr>
      </w:pPr>
      <w:r>
        <w:rPr>
          <w:rFonts w:ascii="Times New Roman" w:hAnsi="Times New Roman" w:cs="Times New Roman"/>
          <w:sz w:val="24"/>
          <w:szCs w:val="24"/>
        </w:rPr>
        <w:t>Mahasiswa Fakultas Hukum Uni</w:t>
      </w:r>
      <w:r w:rsidR="0007078D">
        <w:rPr>
          <w:rFonts w:ascii="Times New Roman" w:hAnsi="Times New Roman" w:cs="Times New Roman"/>
          <w:sz w:val="24"/>
          <w:szCs w:val="24"/>
        </w:rPr>
        <w:t>versitas Sebelas Maret Surakarta</w:t>
      </w:r>
    </w:p>
    <w:p w:rsidR="00C94F27" w:rsidRDefault="00363B58" w:rsidP="000707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Djuwityastuti</w:t>
      </w:r>
    </w:p>
    <w:p w:rsidR="00C94F27" w:rsidRDefault="00F0454E" w:rsidP="0007078D">
      <w:pPr>
        <w:spacing w:after="0" w:line="240" w:lineRule="auto"/>
        <w:jc w:val="center"/>
        <w:rPr>
          <w:rFonts w:ascii="Times New Roman" w:hAnsi="Times New Roman" w:cs="Times New Roman"/>
          <w:sz w:val="24"/>
          <w:szCs w:val="24"/>
        </w:rPr>
      </w:pPr>
      <w:hyperlink r:id="rId10" w:history="1">
        <w:r w:rsidR="00327812" w:rsidRPr="00E300C4">
          <w:rPr>
            <w:rStyle w:val="Hyperlink"/>
            <w:rFonts w:ascii="Times New Roman" w:hAnsi="Times New Roman" w:cs="Times New Roman"/>
            <w:sz w:val="24"/>
            <w:szCs w:val="24"/>
          </w:rPr>
          <w:t>djuwityastuti@gmail.com</w:t>
        </w:r>
      </w:hyperlink>
    </w:p>
    <w:p w:rsidR="00C94F27" w:rsidRDefault="00C94F27" w:rsidP="000707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Fakultas Hukum Univ</w:t>
      </w:r>
      <w:r w:rsidR="0007078D">
        <w:rPr>
          <w:rFonts w:ascii="Times New Roman" w:hAnsi="Times New Roman" w:cs="Times New Roman"/>
          <w:sz w:val="24"/>
          <w:szCs w:val="24"/>
        </w:rPr>
        <w:t>ersitas Sebelas Maret Surakarta</w:t>
      </w:r>
    </w:p>
    <w:p w:rsidR="0007078D" w:rsidRDefault="0007078D" w:rsidP="0007078D">
      <w:pPr>
        <w:spacing w:after="0" w:line="240" w:lineRule="auto"/>
        <w:jc w:val="center"/>
        <w:rPr>
          <w:rFonts w:ascii="Times New Roman" w:hAnsi="Times New Roman" w:cs="Times New Roman"/>
          <w:sz w:val="24"/>
          <w:szCs w:val="24"/>
        </w:rPr>
      </w:pPr>
    </w:p>
    <w:p w:rsidR="00C94F27" w:rsidRPr="007560DA" w:rsidRDefault="00C94F27" w:rsidP="00C94F27">
      <w:pPr>
        <w:spacing w:after="0" w:line="360" w:lineRule="auto"/>
        <w:jc w:val="center"/>
        <w:rPr>
          <w:rFonts w:ascii="Times New Roman" w:hAnsi="Times New Roman" w:cs="Times New Roman"/>
          <w:b/>
          <w:i/>
          <w:sz w:val="24"/>
          <w:szCs w:val="24"/>
        </w:rPr>
      </w:pPr>
      <w:r w:rsidRPr="007560DA">
        <w:rPr>
          <w:rFonts w:ascii="Times New Roman" w:hAnsi="Times New Roman" w:cs="Times New Roman"/>
          <w:b/>
          <w:i/>
          <w:sz w:val="24"/>
          <w:szCs w:val="24"/>
        </w:rPr>
        <w:t>Abstract</w:t>
      </w:r>
    </w:p>
    <w:p w:rsidR="004B4EA8" w:rsidRDefault="00363B58" w:rsidP="0007078D">
      <w:pPr>
        <w:spacing w:line="240" w:lineRule="auto"/>
        <w:jc w:val="both"/>
        <w:rPr>
          <w:rFonts w:ascii="Times New Roman" w:hAnsi="Times New Roman" w:cs="Times New Roman"/>
          <w:i/>
          <w:sz w:val="24"/>
          <w:lang w:val="en-US"/>
        </w:rPr>
      </w:pPr>
      <w:r>
        <w:rPr>
          <w:rFonts w:ascii="Times New Roman" w:hAnsi="Times New Roman" w:cs="Times New Roman"/>
          <w:i/>
          <w:sz w:val="24"/>
        </w:rPr>
        <w:t>The purpose of this article</w:t>
      </w:r>
      <w:r w:rsidR="004B4EA8">
        <w:rPr>
          <w:rFonts w:ascii="Times New Roman" w:hAnsi="Times New Roman" w:cs="Times New Roman"/>
          <w:i/>
          <w:sz w:val="24"/>
        </w:rPr>
        <w:t xml:space="preserve"> is to </w:t>
      </w:r>
      <w:r w:rsidR="004B4EA8">
        <w:rPr>
          <w:rFonts w:ascii="Times New Roman" w:hAnsi="Times New Roman" w:cs="Times New Roman"/>
          <w:i/>
          <w:sz w:val="24"/>
          <w:lang w:val="en-US"/>
        </w:rPr>
        <w:t>get comprehensive data and information about</w:t>
      </w:r>
      <w:r w:rsidR="004B4EA8">
        <w:rPr>
          <w:rFonts w:ascii="Times New Roman" w:hAnsi="Times New Roman" w:cs="Times New Roman"/>
          <w:i/>
          <w:sz w:val="24"/>
        </w:rPr>
        <w:t xml:space="preserve"> the resolving defaults in credit agreement with fiduciary </w:t>
      </w:r>
      <w:r w:rsidR="004B4EA8">
        <w:rPr>
          <w:rFonts w:ascii="Times New Roman" w:hAnsi="Times New Roman" w:cs="Times New Roman"/>
          <w:i/>
          <w:sz w:val="24"/>
          <w:lang w:val="en-US"/>
        </w:rPr>
        <w:t>collateral</w:t>
      </w:r>
      <w:r w:rsidR="004B4EA8">
        <w:rPr>
          <w:rFonts w:ascii="Times New Roman" w:hAnsi="Times New Roman" w:cs="Times New Roman"/>
          <w:i/>
          <w:sz w:val="24"/>
        </w:rPr>
        <w:t xml:space="preserve"> by Sendang Artha Mandiri Credit Cooperative and according to Law Number 42 of 1999 concerning Fiduciary </w:t>
      </w:r>
      <w:r w:rsidR="004B4EA8">
        <w:rPr>
          <w:rFonts w:ascii="Times New Roman" w:hAnsi="Times New Roman" w:cs="Times New Roman"/>
          <w:i/>
          <w:sz w:val="24"/>
          <w:lang w:val="en-US"/>
        </w:rPr>
        <w:t>Collateral</w:t>
      </w:r>
      <w:r w:rsidR="004B4EA8">
        <w:rPr>
          <w:rFonts w:ascii="Times New Roman" w:hAnsi="Times New Roman" w:cs="Times New Roman"/>
          <w:i/>
          <w:sz w:val="24"/>
        </w:rPr>
        <w:t xml:space="preserve">. This research used empiricial methods. The result of this research showed that the process of resolving default by Sendang Artha Mandiri Credit Cooperative are : 1) Direct approach; 2) A memorandum bestoval; 3) Novation; and 4) Confiscation and auction of default debtor assets. According to Article 36 of Law Number 42 of 1999 concerning Fiduciary </w:t>
      </w:r>
      <w:r w:rsidR="004B4EA8">
        <w:rPr>
          <w:rFonts w:ascii="Times New Roman" w:hAnsi="Times New Roman" w:cs="Times New Roman"/>
          <w:i/>
          <w:sz w:val="24"/>
          <w:lang w:val="en-US"/>
        </w:rPr>
        <w:t>Collateral</w:t>
      </w:r>
      <w:r w:rsidR="004B4EA8">
        <w:rPr>
          <w:rFonts w:ascii="Times New Roman" w:hAnsi="Times New Roman" w:cs="Times New Roman"/>
          <w:i/>
          <w:sz w:val="24"/>
        </w:rPr>
        <w:t xml:space="preserve">, that debtors who transfer object of fiduciary </w:t>
      </w:r>
      <w:r w:rsidR="004B4EA8">
        <w:rPr>
          <w:rFonts w:ascii="Times New Roman" w:hAnsi="Times New Roman" w:cs="Times New Roman"/>
          <w:i/>
          <w:sz w:val="24"/>
          <w:lang w:val="en-US"/>
        </w:rPr>
        <w:t>collateral</w:t>
      </w:r>
      <w:r w:rsidR="004B4EA8">
        <w:rPr>
          <w:rFonts w:ascii="Times New Roman" w:hAnsi="Times New Roman" w:cs="Times New Roman"/>
          <w:i/>
          <w:sz w:val="24"/>
        </w:rPr>
        <w:t xml:space="preserve"> without creditors approval are punished by imprisonment and fines. In this case, there is a </w:t>
      </w:r>
      <w:r w:rsidR="004B4EA8">
        <w:rPr>
          <w:rFonts w:ascii="Times New Roman" w:hAnsi="Times New Roman" w:cs="Times New Roman"/>
          <w:i/>
          <w:sz w:val="24"/>
          <w:lang w:val="en-US"/>
        </w:rPr>
        <w:t xml:space="preserve">contradiction </w:t>
      </w:r>
      <w:r w:rsidR="004B4EA8">
        <w:rPr>
          <w:rFonts w:ascii="Times New Roman" w:hAnsi="Times New Roman" w:cs="Times New Roman"/>
          <w:i/>
          <w:sz w:val="24"/>
        </w:rPr>
        <w:t xml:space="preserve">within the process of resolving defaults in a </w:t>
      </w:r>
      <w:r w:rsidR="004B4EA8">
        <w:rPr>
          <w:rFonts w:ascii="Times New Roman" w:hAnsi="Times New Roman" w:cs="Times New Roman"/>
          <w:i/>
          <w:sz w:val="24"/>
          <w:lang w:val="en-US"/>
        </w:rPr>
        <w:t>credit</w:t>
      </w:r>
      <w:r w:rsidR="004B4EA8">
        <w:rPr>
          <w:rFonts w:ascii="Times New Roman" w:hAnsi="Times New Roman" w:cs="Times New Roman"/>
          <w:i/>
          <w:sz w:val="24"/>
        </w:rPr>
        <w:t xml:space="preserve"> agreement </w:t>
      </w:r>
      <w:r w:rsidR="004B4EA8">
        <w:rPr>
          <w:rFonts w:ascii="Times New Roman" w:hAnsi="Times New Roman" w:cs="Times New Roman"/>
          <w:i/>
          <w:sz w:val="24"/>
          <w:lang w:val="en-US"/>
        </w:rPr>
        <w:t xml:space="preserve">with fiduciary collateral </w:t>
      </w:r>
      <w:r w:rsidR="004B4EA8">
        <w:rPr>
          <w:rFonts w:ascii="Times New Roman" w:hAnsi="Times New Roman" w:cs="Times New Roman"/>
          <w:i/>
          <w:sz w:val="24"/>
        </w:rPr>
        <w:t>between Sendang Artha Mandiri</w:t>
      </w:r>
      <w:r w:rsidR="004B4EA8">
        <w:rPr>
          <w:rFonts w:ascii="Times New Roman" w:hAnsi="Times New Roman" w:cs="Times New Roman"/>
          <w:i/>
          <w:sz w:val="24"/>
          <w:lang w:val="en-US"/>
        </w:rPr>
        <w:t xml:space="preserve"> Credit Cooperative</w:t>
      </w:r>
      <w:r w:rsidR="004B4EA8">
        <w:rPr>
          <w:rFonts w:ascii="Times New Roman" w:hAnsi="Times New Roman" w:cs="Times New Roman"/>
          <w:i/>
          <w:sz w:val="24"/>
        </w:rPr>
        <w:t xml:space="preserve"> and Law Number 42 of 1999 concerning Fiduciary </w:t>
      </w:r>
      <w:r w:rsidR="004B4EA8">
        <w:rPr>
          <w:rFonts w:ascii="Times New Roman" w:hAnsi="Times New Roman" w:cs="Times New Roman"/>
          <w:i/>
          <w:sz w:val="24"/>
          <w:lang w:val="en-US"/>
        </w:rPr>
        <w:t xml:space="preserve">Collateral </w:t>
      </w:r>
      <w:r w:rsidR="004B4EA8">
        <w:rPr>
          <w:rFonts w:ascii="Times New Roman" w:hAnsi="Times New Roman" w:cs="Times New Roman"/>
          <w:i/>
          <w:sz w:val="24"/>
        </w:rPr>
        <w:t>caused by the presence of cooperative principles, that is the kinship principle.</w:t>
      </w:r>
    </w:p>
    <w:p w:rsidR="004B4EA8" w:rsidRPr="0007078D" w:rsidRDefault="004B4EA8" w:rsidP="0007078D">
      <w:pPr>
        <w:spacing w:line="240" w:lineRule="auto"/>
        <w:jc w:val="both"/>
        <w:rPr>
          <w:rFonts w:ascii="Times New Roman" w:hAnsi="Times New Roman" w:cs="Times New Roman"/>
          <w:i/>
          <w:sz w:val="24"/>
        </w:rPr>
      </w:pPr>
      <w:r w:rsidRPr="0007078D">
        <w:rPr>
          <w:rFonts w:ascii="Times New Roman" w:hAnsi="Times New Roman" w:cs="Times New Roman"/>
          <w:b/>
          <w:i/>
          <w:sz w:val="24"/>
        </w:rPr>
        <w:t>Keywords</w:t>
      </w:r>
      <w:r w:rsidR="00DA5992">
        <w:rPr>
          <w:rFonts w:ascii="Times New Roman" w:hAnsi="Times New Roman" w:cs="Times New Roman"/>
          <w:i/>
          <w:sz w:val="24"/>
        </w:rPr>
        <w:t xml:space="preserve">: </w:t>
      </w:r>
      <w:r w:rsidR="00DA5992">
        <w:rPr>
          <w:rFonts w:ascii="Times New Roman" w:hAnsi="Times New Roman" w:cs="Times New Roman"/>
          <w:i/>
          <w:sz w:val="24"/>
          <w:lang w:val="en-US"/>
        </w:rPr>
        <w:t>D</w:t>
      </w:r>
      <w:r w:rsidR="00B52679">
        <w:rPr>
          <w:rFonts w:ascii="Times New Roman" w:hAnsi="Times New Roman" w:cs="Times New Roman"/>
          <w:i/>
          <w:sz w:val="24"/>
        </w:rPr>
        <w:t>efaul;</w:t>
      </w:r>
      <w:r>
        <w:rPr>
          <w:rFonts w:ascii="Times New Roman" w:hAnsi="Times New Roman" w:cs="Times New Roman"/>
          <w:i/>
          <w:sz w:val="24"/>
        </w:rPr>
        <w:t xml:space="preserve">, fiduciary </w:t>
      </w:r>
      <w:r>
        <w:rPr>
          <w:rFonts w:ascii="Times New Roman" w:hAnsi="Times New Roman" w:cs="Times New Roman"/>
          <w:i/>
          <w:sz w:val="24"/>
          <w:lang w:val="en-US"/>
        </w:rPr>
        <w:t>collateral</w:t>
      </w:r>
      <w:r w:rsidR="00B52679">
        <w:rPr>
          <w:rFonts w:ascii="Times New Roman" w:hAnsi="Times New Roman" w:cs="Times New Roman"/>
          <w:i/>
          <w:sz w:val="24"/>
        </w:rPr>
        <w:t>;</w:t>
      </w:r>
      <w:r>
        <w:rPr>
          <w:rFonts w:ascii="Times New Roman" w:hAnsi="Times New Roman" w:cs="Times New Roman"/>
          <w:i/>
          <w:sz w:val="24"/>
        </w:rPr>
        <w:t xml:space="preserve"> cooperative.</w:t>
      </w:r>
    </w:p>
    <w:p w:rsidR="00C94F27" w:rsidRDefault="00C94F27" w:rsidP="00C94F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B4EA8" w:rsidRPr="0007078D" w:rsidRDefault="00363B58" w:rsidP="0007078D">
      <w:pPr>
        <w:spacing w:line="240" w:lineRule="auto"/>
        <w:jc w:val="both"/>
        <w:rPr>
          <w:rFonts w:ascii="Times New Roman" w:hAnsi="Times New Roman" w:cs="Times New Roman"/>
          <w:sz w:val="24"/>
        </w:rPr>
      </w:pPr>
      <w:r>
        <w:rPr>
          <w:rFonts w:ascii="Times New Roman" w:hAnsi="Times New Roman" w:cs="Times New Roman"/>
          <w:sz w:val="24"/>
        </w:rPr>
        <w:t>Artikel</w:t>
      </w:r>
      <w:r w:rsidR="004B4EA8">
        <w:rPr>
          <w:rFonts w:ascii="Times New Roman" w:hAnsi="Times New Roman" w:cs="Times New Roman"/>
          <w:sz w:val="24"/>
        </w:rPr>
        <w:t xml:space="preserve"> ini bertujuan untuk </w:t>
      </w:r>
      <w:proofErr w:type="spellStart"/>
      <w:r w:rsidR="004B4EA8">
        <w:rPr>
          <w:rFonts w:ascii="Times New Roman" w:hAnsi="Times New Roman" w:cs="Times New Roman"/>
          <w:sz w:val="24"/>
          <w:lang w:val="en-US"/>
        </w:rPr>
        <w:t>memperoleh</w:t>
      </w:r>
      <w:proofErr w:type="spellEnd"/>
      <w:r w:rsidR="004B4EA8">
        <w:rPr>
          <w:rFonts w:ascii="Times New Roman" w:hAnsi="Times New Roman" w:cs="Times New Roman"/>
          <w:sz w:val="24"/>
          <w:lang w:val="en-US"/>
        </w:rPr>
        <w:t xml:space="preserve"> data </w:t>
      </w:r>
      <w:proofErr w:type="spellStart"/>
      <w:r w:rsidR="004B4EA8">
        <w:rPr>
          <w:rFonts w:ascii="Times New Roman" w:hAnsi="Times New Roman" w:cs="Times New Roman"/>
          <w:sz w:val="24"/>
          <w:lang w:val="en-US"/>
        </w:rPr>
        <w:t>dan</w:t>
      </w:r>
      <w:proofErr w:type="spellEnd"/>
      <w:r w:rsidR="004B4EA8">
        <w:rPr>
          <w:rFonts w:ascii="Times New Roman" w:hAnsi="Times New Roman" w:cs="Times New Roman"/>
          <w:sz w:val="24"/>
          <w:lang w:val="en-US"/>
        </w:rPr>
        <w:t xml:space="preserve"> </w:t>
      </w:r>
      <w:proofErr w:type="spellStart"/>
      <w:r w:rsidR="004B4EA8">
        <w:rPr>
          <w:rFonts w:ascii="Times New Roman" w:hAnsi="Times New Roman" w:cs="Times New Roman"/>
          <w:sz w:val="24"/>
          <w:lang w:val="en-US"/>
        </w:rPr>
        <w:t>informasi</w:t>
      </w:r>
      <w:proofErr w:type="spellEnd"/>
      <w:r w:rsidR="004B4EA8">
        <w:rPr>
          <w:rFonts w:ascii="Times New Roman" w:hAnsi="Times New Roman" w:cs="Times New Roman"/>
          <w:sz w:val="24"/>
          <w:lang w:val="en-US"/>
        </w:rPr>
        <w:t xml:space="preserve"> yang </w:t>
      </w:r>
      <w:proofErr w:type="spellStart"/>
      <w:r w:rsidR="004B4EA8">
        <w:rPr>
          <w:rFonts w:ascii="Times New Roman" w:hAnsi="Times New Roman" w:cs="Times New Roman"/>
          <w:sz w:val="24"/>
          <w:lang w:val="en-US"/>
        </w:rPr>
        <w:t>lengkap</w:t>
      </w:r>
      <w:proofErr w:type="spellEnd"/>
      <w:r w:rsidR="004B4EA8">
        <w:rPr>
          <w:rFonts w:ascii="Times New Roman" w:hAnsi="Times New Roman" w:cs="Times New Roman"/>
          <w:sz w:val="24"/>
          <w:lang w:val="en-US"/>
        </w:rPr>
        <w:t xml:space="preserve"> </w:t>
      </w:r>
      <w:proofErr w:type="spellStart"/>
      <w:r w:rsidR="004B4EA8">
        <w:rPr>
          <w:rFonts w:ascii="Times New Roman" w:hAnsi="Times New Roman" w:cs="Times New Roman"/>
          <w:sz w:val="24"/>
          <w:lang w:val="en-US"/>
        </w:rPr>
        <w:t>mengenai</w:t>
      </w:r>
      <w:proofErr w:type="spellEnd"/>
      <w:r w:rsidR="004B4EA8">
        <w:rPr>
          <w:rFonts w:ascii="Times New Roman" w:hAnsi="Times New Roman" w:cs="Times New Roman"/>
          <w:sz w:val="24"/>
        </w:rPr>
        <w:t xml:space="preserve"> penyelesaian wanprestasi dalam perjanjian kredit dengan jaminan fidusia oleh KSP Sendang Artha Mandiri</w:t>
      </w:r>
      <w:r w:rsidR="004B4EA8">
        <w:rPr>
          <w:rFonts w:ascii="Times New Roman" w:hAnsi="Times New Roman" w:cs="Times New Roman"/>
          <w:sz w:val="24"/>
          <w:lang w:val="en-US"/>
        </w:rPr>
        <w:t xml:space="preserve"> </w:t>
      </w:r>
      <w:r w:rsidR="004B4EA8">
        <w:rPr>
          <w:rFonts w:ascii="Times New Roman" w:hAnsi="Times New Roman" w:cs="Times New Roman"/>
          <w:sz w:val="24"/>
        </w:rPr>
        <w:t>dan menurut UU Nomor 42 Tahun 1999 tentang Jaminan Fidusia. Penelitian ini menggunakan</w:t>
      </w:r>
      <w:r w:rsidR="0007078D">
        <w:rPr>
          <w:rFonts w:ascii="Times New Roman" w:hAnsi="Times New Roman" w:cs="Times New Roman"/>
          <w:sz w:val="24"/>
        </w:rPr>
        <w:t xml:space="preserve"> metode penelitian empiris.</w:t>
      </w:r>
      <w:r w:rsidR="004B4EA8">
        <w:rPr>
          <w:rFonts w:ascii="Times New Roman" w:hAnsi="Times New Roman" w:cs="Times New Roman"/>
          <w:i/>
          <w:sz w:val="24"/>
        </w:rPr>
        <w:t xml:space="preserve"> </w:t>
      </w:r>
      <w:r w:rsidR="004B4EA8">
        <w:rPr>
          <w:rFonts w:ascii="Times New Roman" w:hAnsi="Times New Roman" w:cs="Times New Roman"/>
          <w:sz w:val="24"/>
        </w:rPr>
        <w:t>Hasil dari penelitian menunjukkan bahwa proses penyelesaian wanprestasi yang dilakukan oleh KSP Sendang Artha Mandiri antara lain : 1) Pendekatan secara langsung; 2) Pemberian surat peringatan; 3) Novasi; dan 4) Penyitaan dan pelelangan harta kekayaan debitur wanprestasi. Sedangkan menurut Pasal 36 UU Nomor 42 Tahun 1999 tentang Jaminan Fidusia, diatur bahwa debitur yang mengalihkan benda yang menjadi objek jaminan fidusia tanpa persetujuan kreditur dipidana dengan pidana penjara dan denda</w:t>
      </w:r>
      <w:r w:rsidR="004B4EA8">
        <w:rPr>
          <w:rFonts w:ascii="Times New Roman" w:hAnsi="Times New Roman" w:cs="Times New Roman"/>
          <w:sz w:val="24"/>
          <w:lang w:val="en-US"/>
        </w:rPr>
        <w:t xml:space="preserve">. </w:t>
      </w:r>
      <w:proofErr w:type="spellStart"/>
      <w:r w:rsidR="004B4EA8">
        <w:rPr>
          <w:rFonts w:ascii="Times New Roman" w:hAnsi="Times New Roman" w:cs="Times New Roman"/>
          <w:sz w:val="24"/>
          <w:lang w:val="en-US"/>
        </w:rPr>
        <w:t>Perbedaan</w:t>
      </w:r>
      <w:proofErr w:type="spellEnd"/>
      <w:r w:rsidR="004B4EA8">
        <w:rPr>
          <w:rFonts w:ascii="Times New Roman" w:hAnsi="Times New Roman" w:cs="Times New Roman"/>
          <w:sz w:val="24"/>
          <w:lang w:val="en-US"/>
        </w:rPr>
        <w:t xml:space="preserve"> </w:t>
      </w:r>
      <w:r w:rsidR="004B4EA8">
        <w:rPr>
          <w:rFonts w:ascii="Times New Roman" w:hAnsi="Times New Roman" w:cs="Times New Roman"/>
          <w:sz w:val="24"/>
        </w:rPr>
        <w:t xml:space="preserve"> penyelesaian wanprestasi dalam perjanjian kredit dengan jaminan fidusia antara KSP Sendang Artha Mandiri dengan UU Nomor 42 Tahun 1999 tentang Jaminan Fidusi</w:t>
      </w:r>
      <w:r w:rsidR="004B4EA8">
        <w:rPr>
          <w:rFonts w:ascii="Times New Roman" w:hAnsi="Times New Roman" w:cs="Times New Roman"/>
          <w:sz w:val="24"/>
          <w:lang w:val="en-US"/>
        </w:rPr>
        <w:t xml:space="preserve">a </w:t>
      </w:r>
      <w:r w:rsidR="004B4EA8">
        <w:rPr>
          <w:rFonts w:ascii="Times New Roman" w:hAnsi="Times New Roman" w:cs="Times New Roman"/>
          <w:sz w:val="24"/>
        </w:rPr>
        <w:t>disebabkan adanya asas koperasi yaitu asas kekeluargaan.</w:t>
      </w:r>
    </w:p>
    <w:p w:rsidR="00363B58" w:rsidRDefault="004B4EA8" w:rsidP="0007078D">
      <w:pPr>
        <w:spacing w:line="240" w:lineRule="auto"/>
        <w:jc w:val="both"/>
        <w:rPr>
          <w:rFonts w:ascii="Times New Roman" w:hAnsi="Times New Roman" w:cs="Times New Roman"/>
          <w:sz w:val="24"/>
        </w:rPr>
      </w:pPr>
      <w:r w:rsidRPr="0007078D">
        <w:rPr>
          <w:rFonts w:ascii="Times New Roman" w:hAnsi="Times New Roman" w:cs="Times New Roman"/>
          <w:b/>
          <w:sz w:val="24"/>
        </w:rPr>
        <w:t>Kata Kunci</w:t>
      </w:r>
      <w:r w:rsidR="00DA5992">
        <w:rPr>
          <w:rFonts w:ascii="Times New Roman" w:hAnsi="Times New Roman" w:cs="Times New Roman"/>
          <w:sz w:val="24"/>
        </w:rPr>
        <w:t xml:space="preserve"> : </w:t>
      </w:r>
      <w:r w:rsidR="00DA5992">
        <w:rPr>
          <w:rFonts w:ascii="Times New Roman" w:hAnsi="Times New Roman" w:cs="Times New Roman"/>
          <w:sz w:val="24"/>
          <w:lang w:val="en-US"/>
        </w:rPr>
        <w:t>W</w:t>
      </w:r>
      <w:r w:rsidR="00B52679">
        <w:rPr>
          <w:rFonts w:ascii="Times New Roman" w:hAnsi="Times New Roman" w:cs="Times New Roman"/>
          <w:sz w:val="24"/>
        </w:rPr>
        <w:t>anprestastasi;</w:t>
      </w:r>
      <w:r>
        <w:rPr>
          <w:rFonts w:ascii="Times New Roman" w:hAnsi="Times New Roman" w:cs="Times New Roman"/>
          <w:sz w:val="24"/>
        </w:rPr>
        <w:t xml:space="preserve"> jaminan fi</w:t>
      </w:r>
      <w:r w:rsidR="00B52679">
        <w:rPr>
          <w:rFonts w:ascii="Times New Roman" w:hAnsi="Times New Roman" w:cs="Times New Roman"/>
          <w:sz w:val="24"/>
        </w:rPr>
        <w:t>dusia;</w:t>
      </w:r>
      <w:r>
        <w:rPr>
          <w:rFonts w:ascii="Times New Roman" w:hAnsi="Times New Roman" w:cs="Times New Roman"/>
          <w:sz w:val="24"/>
        </w:rPr>
        <w:t xml:space="preserve"> koperasi.</w:t>
      </w:r>
    </w:p>
    <w:p w:rsidR="00363B58" w:rsidRPr="0007078D" w:rsidRDefault="00363B58" w:rsidP="0007078D">
      <w:pPr>
        <w:spacing w:line="240" w:lineRule="auto"/>
        <w:jc w:val="both"/>
        <w:rPr>
          <w:rFonts w:ascii="Times New Roman" w:hAnsi="Times New Roman" w:cs="Times New Roman"/>
          <w:sz w:val="24"/>
        </w:rPr>
      </w:pPr>
    </w:p>
    <w:p w:rsidR="00C94F27" w:rsidRDefault="00C94F27" w:rsidP="00363B58">
      <w:pPr>
        <w:pStyle w:val="ListParagraph"/>
        <w:numPr>
          <w:ilvl w:val="0"/>
          <w:numId w:val="1"/>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Pendahuluan</w:t>
      </w:r>
    </w:p>
    <w:p w:rsidR="006A6C50" w:rsidRPr="00363B58" w:rsidRDefault="00C94F27" w:rsidP="00363B58">
      <w:pPr>
        <w:pStyle w:val="ListParagraph"/>
        <w:spacing w:after="0" w:line="360" w:lineRule="auto"/>
        <w:ind w:left="426" w:firstLine="588"/>
        <w:jc w:val="both"/>
        <w:rPr>
          <w:rFonts w:ascii="Times New Roman" w:hAnsi="Times New Roman" w:cs="Times New Roman"/>
          <w:sz w:val="24"/>
          <w:szCs w:val="24"/>
        </w:rPr>
      </w:pPr>
      <w:r w:rsidRPr="00C94F27">
        <w:rPr>
          <w:rFonts w:ascii="Times New Roman" w:hAnsi="Times New Roman" w:cs="Times New Roman"/>
          <w:sz w:val="24"/>
          <w:szCs w:val="24"/>
        </w:rPr>
        <w:t xml:space="preserve">Perkembangan zaman menuntut perkembangan masyarakat pula, baik dalam aspek sosial, politik, maupun ekonomi. Yang menjadi sangat penting dalam kehidupan masyarakat salah satunya adalah perkembangan ekonomi. Pemerintah Indonesia telah melakukan berbagai cara dalam memperbaiki sistem perekonomian dalam menentukan </w:t>
      </w:r>
      <w:r w:rsidRPr="00C94F27">
        <w:rPr>
          <w:rFonts w:ascii="Times New Roman" w:hAnsi="Times New Roman" w:cs="Times New Roman"/>
          <w:sz w:val="24"/>
          <w:szCs w:val="24"/>
        </w:rPr>
        <w:lastRenderedPageBreak/>
        <w:t>kebijakan-kebijakan di bidang ekonomi termasuk dalam aspek keuangan, baik lembaga keuangan Perbankan maupun lembaga keuangan bukan bank.</w:t>
      </w:r>
      <w:r w:rsidR="00363B58">
        <w:rPr>
          <w:rFonts w:ascii="Times New Roman" w:hAnsi="Times New Roman" w:cs="Times New Roman"/>
          <w:sz w:val="24"/>
          <w:szCs w:val="24"/>
        </w:rPr>
        <w:t xml:space="preserve"> </w:t>
      </w:r>
      <w:r w:rsidRPr="00363B58">
        <w:rPr>
          <w:rFonts w:ascii="Times New Roman" w:hAnsi="Times New Roman" w:cs="Times New Roman"/>
          <w:sz w:val="24"/>
          <w:szCs w:val="24"/>
        </w:rPr>
        <w:t>Di samping bank sebagai lembaga keuangan yang menghimpun dan menyalurkan dana kepada masyarakat, ada pula lembaga bukan bank yang mempunyai peran penting dalam perekonomian di Indonesia, yaitu koperasi. Kebijakan mengenai koperasi diatur di dalam Undang-Undang Nomor 25 Tahun 1992</w:t>
      </w:r>
      <w:r w:rsidR="00363B58" w:rsidRPr="00363B58">
        <w:rPr>
          <w:rFonts w:ascii="Times New Roman" w:hAnsi="Times New Roman" w:cs="Times New Roman"/>
          <w:sz w:val="24"/>
          <w:szCs w:val="24"/>
        </w:rPr>
        <w:t xml:space="preserve"> tentang Perkoperasian</w:t>
      </w:r>
      <w:r w:rsidRPr="00363B58">
        <w:rPr>
          <w:rFonts w:ascii="Times New Roman" w:hAnsi="Times New Roman" w:cs="Times New Roman"/>
          <w:sz w:val="24"/>
          <w:szCs w:val="24"/>
        </w:rPr>
        <w:t xml:space="preserve">. </w:t>
      </w:r>
    </w:p>
    <w:p w:rsidR="006A6C50" w:rsidRDefault="00C94F27"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Selain menghimpun dana dari anggotanya, koperasi juga dapat menyalurkan dana dengan memberikan pinjaman kepada anggotanya maupun kepada anggota koperasi lain. Kegiatan ini disebut dengan usaha simpan pinjam atau biasanya masyarakat lebih mengenalnya dengan Koperasi Simpan Pinjam. Kegiatan usaha simpan pinjam yang dilakukan oleh koperasi diatur lebih lanjut di  dalam Peraturan Pemerintah Nomor 9 Tahun 1995 tentang Pelaksanaan Kegiatan Usaha Simpan Pinjam Oleh Koperasi. Menurut  Pasal 1 angka 1 PP Nomor 9 Tahun 1995, kegiatan usaha simpan pinjam adalah kegiatan yang dilakukan untuk menghimpun dana dan menyalurkannya melalui kegiatan usaha simpan pinjam dari dan untuk anggota koperasi yang bersangkutan, calon anggota koperasi yang bersangkutan, koperasi lain dan atau anggotanya.</w:t>
      </w:r>
    </w:p>
    <w:p w:rsidR="006A6C50" w:rsidRPr="00363B58" w:rsidRDefault="00C94F27"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Penyaluran dana kepada angggota koperasi simpan pinjam dan masyarakat dilakukan dengan pemberian kredit dalam perjanjian kredit dengan jaminan dan syarat-syarat yang ditentukan oleh pihak koperasi simpan pinjam. Dalam memberikan kredit kepada anggotanya, koperasi simpan pinjam juga memperhatikan prinsip 5C. </w:t>
      </w:r>
      <w:r w:rsidRPr="00363B58">
        <w:rPr>
          <w:rFonts w:ascii="Times New Roman" w:hAnsi="Times New Roman" w:cs="Times New Roman"/>
          <w:sz w:val="24"/>
          <w:szCs w:val="24"/>
        </w:rPr>
        <w:t xml:space="preserve">Setiap pemberian kredit didahului dengan pembuatan perjanjian kredit. Perjanjian kredit merupakan perjanjian pokok sebelum dilakukannya kredit. Pada dasarnya setiap diberikannya kredit pihak koperasi simpan pinjam selalu meminta jaminan atas piutang yang sudah diberikan. </w:t>
      </w:r>
      <w:r w:rsidR="006A6C50" w:rsidRPr="00363B58">
        <w:rPr>
          <w:rFonts w:ascii="Times New Roman" w:hAnsi="Times New Roman" w:cs="Times New Roman"/>
          <w:sz w:val="24"/>
          <w:szCs w:val="24"/>
        </w:rPr>
        <w:t>Salah jaminan yang akan dibahas dalam penulisan hukum ini adalah jaminan fidusia. Jaminan fidusia diatur di dalam Undang-Undang Nomor 42 Tahun 1999 tentang Jaminan Fidusia yang selanjutnya disebut UU Jaminan Fidusia.</w:t>
      </w:r>
    </w:p>
    <w:p w:rsidR="006A6C50" w:rsidRDefault="006A6C50"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Di Madiun, banyak pengusaha mikro yang  mencari modal usaha ke KSP Sendang Artha Mandiri. Walaupun di Madiun banyak koperasi simpan pinjam yang lain, namun  KSP Sendang Artha Mandiri merupakan salah satu koperasi simpan pinjam yang banyak diminati oleh masyarakat Madiun. Maka dari itu, keberadaan KSP Sendang Artha Mandiri menjadi sangat penting bagi sebagian besar masyarakat Madiun dalam meningkatkan perekonomiannya.</w:t>
      </w:r>
    </w:p>
    <w:p w:rsidR="00C94F27" w:rsidRDefault="006A6C50"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Pemberian kredit dengan jaminan fidusia yang dilakukan KSP Sendang Artha Mandiri tidak selalu berjalan dengan lancar. Pasti ada beberapa kendala dalam kredit yang diberikan. Salah satunya adalah debitur yang menjual atau mengalihkan benda yang </w:t>
      </w:r>
      <w:r>
        <w:rPr>
          <w:rFonts w:ascii="Times New Roman" w:hAnsi="Times New Roman" w:cs="Times New Roman"/>
          <w:sz w:val="24"/>
          <w:szCs w:val="24"/>
        </w:rPr>
        <w:lastRenderedPageBreak/>
        <w:t xml:space="preserve">dijaminkan kepada orang lain tanpa sepengetahuan dari pihak KSP Sendang Artha Mandiri dan selain itu debitur tidak dapat membayar cicilan kreditnya. Dalam kondisi seperti ini, pihak koperasi simpan pinjam akan kesulitan untuk meminta pelunasan dari pihak debitur. Koperasi simpan pinjam sebagai kreditur akan kesulitan untuk mengeksekusi benda jaminan tersebut dikarenakan benda jaminan sudah tidak lagi berada di tangan debitur. </w:t>
      </w:r>
    </w:p>
    <w:p w:rsidR="00363B58" w:rsidRDefault="00363B58"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Berdasarkan uraian diatas maka artikel ini akan membahas tentang penyelesaian wanprestasi dalam perjanjian kredit dengan jaminan fidusia yang dilakukan oleh Koperasi Simpan Pinjam Sendang Artha Mandiri Madiun.</w:t>
      </w:r>
    </w:p>
    <w:p w:rsidR="006A6C50" w:rsidRPr="006A6C50" w:rsidRDefault="006A6C50" w:rsidP="00363B58">
      <w:pPr>
        <w:pStyle w:val="ListParagraph"/>
        <w:spacing w:line="360" w:lineRule="auto"/>
        <w:ind w:left="426" w:firstLine="588"/>
        <w:jc w:val="both"/>
        <w:rPr>
          <w:rFonts w:ascii="Times New Roman" w:hAnsi="Times New Roman" w:cs="Times New Roman"/>
          <w:sz w:val="24"/>
          <w:szCs w:val="24"/>
        </w:rPr>
      </w:pPr>
    </w:p>
    <w:p w:rsidR="00C94F27" w:rsidRDefault="00C94F27" w:rsidP="00363B58">
      <w:pPr>
        <w:pStyle w:val="ListParagraph"/>
        <w:numPr>
          <w:ilvl w:val="0"/>
          <w:numId w:val="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Metode Penelitian</w:t>
      </w:r>
    </w:p>
    <w:p w:rsidR="006A6C50" w:rsidRDefault="006A6C50" w:rsidP="00363B58">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Jenis penelitian yang digunakan penulis adalah jenis penelitian empiris, yaitu penelitian yang awalnya meneliti data sekunder, untuk kemudian dilanjutkan dengan penelitian terhadap data primer di lapangan, atau terhadap masyarakat (Soerjono Soekanto, 2014: 62).</w:t>
      </w:r>
    </w:p>
    <w:p w:rsidR="0007078D" w:rsidRPr="006A6C50" w:rsidRDefault="0007078D" w:rsidP="00363B58">
      <w:pPr>
        <w:pStyle w:val="ListParagraph"/>
        <w:spacing w:line="360" w:lineRule="auto"/>
        <w:ind w:left="426" w:firstLine="567"/>
        <w:jc w:val="both"/>
        <w:rPr>
          <w:rFonts w:ascii="Times New Roman" w:hAnsi="Times New Roman" w:cs="Times New Roman"/>
          <w:sz w:val="24"/>
          <w:szCs w:val="24"/>
        </w:rPr>
      </w:pPr>
    </w:p>
    <w:p w:rsidR="00C94F27" w:rsidRDefault="00B52679" w:rsidP="00363B58">
      <w:pPr>
        <w:pStyle w:val="ListParagraph"/>
        <w:numPr>
          <w:ilvl w:val="0"/>
          <w:numId w:val="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Hasil Penelitian dan </w:t>
      </w:r>
      <w:r w:rsidR="00C94F27">
        <w:rPr>
          <w:rFonts w:ascii="Times New Roman" w:hAnsi="Times New Roman" w:cs="Times New Roman"/>
          <w:b/>
          <w:sz w:val="24"/>
          <w:szCs w:val="24"/>
        </w:rPr>
        <w:t>Pembahasan</w:t>
      </w:r>
    </w:p>
    <w:p w:rsidR="006A6C50" w:rsidRDefault="006A6C50" w:rsidP="00363B58">
      <w:pPr>
        <w:pStyle w:val="ListParagraph"/>
        <w:spacing w:line="360" w:lineRule="auto"/>
        <w:ind w:left="426" w:firstLine="567"/>
        <w:jc w:val="both"/>
        <w:rPr>
          <w:rFonts w:ascii="Times New Roman" w:hAnsi="Times New Roman" w:cs="Times New Roman"/>
          <w:sz w:val="24"/>
        </w:rPr>
      </w:pPr>
      <w:r>
        <w:rPr>
          <w:rFonts w:ascii="Times New Roman" w:hAnsi="Times New Roman" w:cs="Times New Roman"/>
          <w:sz w:val="24"/>
        </w:rPr>
        <w:t>Setiap pemberian kredit, baik yang dilakukan oleh sebuah bank maupun sebuah koperasi simpan pinjam, pasti menghadapi berbagai masalah. Salah satunya adalah wanprestasi. Wanprestasi adalah ketidakmampuan seseorang untuk memenuhi kewajiban yang telah disepakati dalam perjanjian. Dalam hal ini, wanprestasi seorang debitur dapat berupa :</w:t>
      </w:r>
    </w:p>
    <w:p w:rsidR="006A6C50" w:rsidRDefault="006A6C50" w:rsidP="00363B58">
      <w:pPr>
        <w:pStyle w:val="ListParagraph"/>
        <w:numPr>
          <w:ilvl w:val="0"/>
          <w:numId w:val="2"/>
        </w:numPr>
        <w:spacing w:line="360" w:lineRule="auto"/>
        <w:ind w:left="1418"/>
        <w:jc w:val="both"/>
        <w:rPr>
          <w:rFonts w:ascii="Times New Roman" w:hAnsi="Times New Roman" w:cs="Times New Roman"/>
          <w:sz w:val="24"/>
        </w:rPr>
      </w:pPr>
      <w:r>
        <w:rPr>
          <w:rFonts w:ascii="Times New Roman" w:hAnsi="Times New Roman" w:cs="Times New Roman"/>
          <w:sz w:val="24"/>
        </w:rPr>
        <w:t>Debitur sama sekali tidak memenuhi prestasi;</w:t>
      </w:r>
    </w:p>
    <w:p w:rsidR="006A6C50" w:rsidRDefault="006A6C50" w:rsidP="00363B58">
      <w:pPr>
        <w:pStyle w:val="ListParagraph"/>
        <w:numPr>
          <w:ilvl w:val="0"/>
          <w:numId w:val="2"/>
        </w:numPr>
        <w:spacing w:line="360" w:lineRule="auto"/>
        <w:ind w:left="1418"/>
        <w:jc w:val="both"/>
        <w:rPr>
          <w:rFonts w:ascii="Times New Roman" w:hAnsi="Times New Roman" w:cs="Times New Roman"/>
          <w:sz w:val="24"/>
        </w:rPr>
      </w:pPr>
      <w:r>
        <w:rPr>
          <w:rFonts w:ascii="Times New Roman" w:hAnsi="Times New Roman" w:cs="Times New Roman"/>
          <w:sz w:val="24"/>
        </w:rPr>
        <w:t>Debitur memenuhi prestasi, tetapi tidak sebagaimana mestinya;</w:t>
      </w:r>
    </w:p>
    <w:p w:rsidR="006A6C50" w:rsidRDefault="006A6C50" w:rsidP="00363B58">
      <w:pPr>
        <w:pStyle w:val="ListParagraph"/>
        <w:numPr>
          <w:ilvl w:val="0"/>
          <w:numId w:val="2"/>
        </w:numPr>
        <w:spacing w:line="360" w:lineRule="auto"/>
        <w:ind w:left="1418"/>
        <w:jc w:val="both"/>
        <w:rPr>
          <w:rFonts w:ascii="Times New Roman" w:hAnsi="Times New Roman" w:cs="Times New Roman"/>
          <w:sz w:val="24"/>
        </w:rPr>
      </w:pPr>
      <w:r>
        <w:rPr>
          <w:rFonts w:ascii="Times New Roman" w:hAnsi="Times New Roman" w:cs="Times New Roman"/>
          <w:sz w:val="24"/>
        </w:rPr>
        <w:t>Debitur memenuhi prestasi, tetapi tidak tepat waktu (terlambat); dan</w:t>
      </w:r>
    </w:p>
    <w:p w:rsidR="006A6C50" w:rsidRDefault="006A6C50" w:rsidP="00363B58">
      <w:pPr>
        <w:pStyle w:val="ListParagraph"/>
        <w:numPr>
          <w:ilvl w:val="0"/>
          <w:numId w:val="2"/>
        </w:numPr>
        <w:spacing w:after="0" w:line="360" w:lineRule="auto"/>
        <w:ind w:left="1418"/>
        <w:jc w:val="both"/>
        <w:rPr>
          <w:rFonts w:ascii="Times New Roman" w:hAnsi="Times New Roman" w:cs="Times New Roman"/>
          <w:sz w:val="24"/>
        </w:rPr>
      </w:pPr>
      <w:r>
        <w:rPr>
          <w:rFonts w:ascii="Times New Roman" w:hAnsi="Times New Roman" w:cs="Times New Roman"/>
          <w:sz w:val="24"/>
        </w:rPr>
        <w:t>Debitur melakukan sesuatu yang menurut perjanjian tidak boleh dilakukan (Handri Raharjo, 2009: 80).</w:t>
      </w:r>
    </w:p>
    <w:p w:rsidR="006A6C50" w:rsidRDefault="006A6C50" w:rsidP="00363B58">
      <w:pPr>
        <w:spacing w:after="0" w:line="360" w:lineRule="auto"/>
        <w:ind w:left="426" w:firstLine="632"/>
        <w:jc w:val="both"/>
        <w:rPr>
          <w:rFonts w:ascii="Times New Roman" w:hAnsi="Times New Roman" w:cs="Times New Roman"/>
          <w:sz w:val="24"/>
        </w:rPr>
      </w:pPr>
      <w:r>
        <w:rPr>
          <w:rFonts w:ascii="Times New Roman" w:hAnsi="Times New Roman" w:cs="Times New Roman"/>
          <w:sz w:val="24"/>
        </w:rPr>
        <w:t>KSP Sendang Artha Mandiri merupakan salah satu yang akan penulis bahas dalam penulisan hukum ini. Dalam hal pemberian kredit oleh KSP Sendang Artha Mandiri tidak luput dari masalah. Dimana per bulan Oktober 2013, terdapat kredit macet sebesar 1.03% (satu koma tigas persen). Berikut data yang penulis peroleh dari hasil wawancara dengan Bu N</w:t>
      </w:r>
      <w:r w:rsidR="00327812">
        <w:rPr>
          <w:rFonts w:ascii="Times New Roman" w:hAnsi="Times New Roman" w:cs="Times New Roman"/>
          <w:sz w:val="24"/>
        </w:rPr>
        <w:t>un</w:t>
      </w:r>
      <w:r>
        <w:rPr>
          <w:rFonts w:ascii="Times New Roman" w:hAnsi="Times New Roman" w:cs="Times New Roman"/>
          <w:sz w:val="24"/>
        </w:rPr>
        <w:t xml:space="preserve">ing </w:t>
      </w:r>
      <w:r w:rsidR="00327812">
        <w:rPr>
          <w:rFonts w:ascii="Times New Roman" w:hAnsi="Times New Roman" w:cs="Times New Roman"/>
          <w:sz w:val="24"/>
        </w:rPr>
        <w:t xml:space="preserve">Lestari </w:t>
      </w:r>
      <w:r>
        <w:rPr>
          <w:rFonts w:ascii="Times New Roman" w:hAnsi="Times New Roman" w:cs="Times New Roman"/>
          <w:sz w:val="24"/>
        </w:rPr>
        <w:t>selaku</w:t>
      </w:r>
      <w:r w:rsidR="00327812">
        <w:rPr>
          <w:rFonts w:ascii="Times New Roman" w:hAnsi="Times New Roman" w:cs="Times New Roman"/>
          <w:sz w:val="24"/>
        </w:rPr>
        <w:t xml:space="preserve"> Kepala Bagian Pembukuan dan</w:t>
      </w:r>
      <w:r>
        <w:rPr>
          <w:rFonts w:ascii="Times New Roman" w:hAnsi="Times New Roman" w:cs="Times New Roman"/>
          <w:sz w:val="24"/>
        </w:rPr>
        <w:t xml:space="preserve"> Keuangan KSP Sendang Artha Madiun.</w:t>
      </w:r>
    </w:p>
    <w:p w:rsidR="00363B58" w:rsidRDefault="00363B58" w:rsidP="00363B58">
      <w:pPr>
        <w:spacing w:after="0" w:line="360" w:lineRule="auto"/>
        <w:ind w:left="426" w:firstLine="632"/>
        <w:jc w:val="both"/>
        <w:rPr>
          <w:rFonts w:ascii="Times New Roman" w:hAnsi="Times New Roman" w:cs="Times New Roman"/>
          <w:sz w:val="24"/>
        </w:rPr>
      </w:pPr>
    </w:p>
    <w:p w:rsidR="00363B58" w:rsidRDefault="00363B58" w:rsidP="00363B58">
      <w:pPr>
        <w:spacing w:after="0" w:line="360" w:lineRule="auto"/>
        <w:ind w:left="426" w:firstLine="632"/>
        <w:jc w:val="both"/>
        <w:rPr>
          <w:rFonts w:ascii="Times New Roman" w:hAnsi="Times New Roman" w:cs="Times New Roman"/>
          <w:sz w:val="24"/>
        </w:rPr>
      </w:pPr>
    </w:p>
    <w:tbl>
      <w:tblPr>
        <w:tblStyle w:val="TableGrid"/>
        <w:tblW w:w="0" w:type="auto"/>
        <w:jc w:val="center"/>
        <w:tblInd w:w="426" w:type="dxa"/>
        <w:tblLook w:val="04A0" w:firstRow="1" w:lastRow="0" w:firstColumn="1" w:lastColumn="0" w:noHBand="0" w:noVBand="1"/>
      </w:tblPr>
      <w:tblGrid>
        <w:gridCol w:w="623"/>
        <w:gridCol w:w="1956"/>
        <w:gridCol w:w="1596"/>
        <w:gridCol w:w="1546"/>
        <w:gridCol w:w="1546"/>
      </w:tblGrid>
      <w:tr w:rsidR="006A6C50" w:rsidTr="006A6C50">
        <w:trPr>
          <w:jc w:val="cent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lastRenderedPageBreak/>
              <w:t>NO.</w:t>
            </w:r>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KATEGORI</w:t>
            </w:r>
          </w:p>
        </w:tc>
        <w:tc>
          <w:tcPr>
            <w:tcW w:w="4688" w:type="dxa"/>
            <w:gridSpan w:val="3"/>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PIUTANG PER OKTOBER 2013</w:t>
            </w:r>
          </w:p>
        </w:tc>
      </w:tr>
      <w:tr w:rsidR="006A6C50" w:rsidTr="006A6C5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rPr>
                <w:rFonts w:ascii="Times New Roman" w:hAnsi="Times New Roman" w:cs="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rPr>
                <w:rFonts w:ascii="Times New Roman" w:hAnsi="Times New Roman" w:cs="Times New Roman"/>
                <w:sz w:val="24"/>
              </w:rPr>
            </w:pP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Rp</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Anggota</w:t>
            </w:r>
          </w:p>
        </w:tc>
      </w:tr>
      <w:tr w:rsidR="006A6C50" w:rsidTr="006A6C50">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56" w:type="dxa"/>
            <w:tcBorders>
              <w:top w:val="single" w:sz="4" w:space="0" w:color="auto"/>
              <w:left w:val="single" w:sz="4" w:space="0" w:color="auto"/>
              <w:bottom w:val="single" w:sz="4" w:space="0" w:color="auto"/>
              <w:right w:val="single" w:sz="4" w:space="0" w:color="auto"/>
            </w:tcBorders>
            <w:vAlign w:val="bottom"/>
            <w:hideMark/>
          </w:tcPr>
          <w:p w:rsidR="006A6C50" w:rsidRDefault="006A6C50" w:rsidP="00363B58">
            <w:pPr>
              <w:spacing w:line="360" w:lineRule="auto"/>
              <w:rPr>
                <w:rFonts w:ascii="Times New Roman" w:hAnsi="Times New Roman" w:cs="Times New Roman"/>
                <w:sz w:val="24"/>
              </w:rPr>
            </w:pPr>
            <w:r>
              <w:rPr>
                <w:rFonts w:ascii="Times New Roman" w:hAnsi="Times New Roman" w:cs="Times New Roman"/>
                <w:sz w:val="24"/>
              </w:rPr>
              <w:t>Lancar</w:t>
            </w: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8.834.254.150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97,65</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2912</w:t>
            </w:r>
          </w:p>
        </w:tc>
      </w:tr>
      <w:tr w:rsidR="006A6C50" w:rsidTr="006A6C50">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56" w:type="dxa"/>
            <w:tcBorders>
              <w:top w:val="single" w:sz="4" w:space="0" w:color="auto"/>
              <w:left w:val="single" w:sz="4" w:space="0" w:color="auto"/>
              <w:bottom w:val="single" w:sz="4" w:space="0" w:color="auto"/>
              <w:right w:val="single" w:sz="4" w:space="0" w:color="auto"/>
            </w:tcBorders>
            <w:vAlign w:val="bottom"/>
            <w:hideMark/>
          </w:tcPr>
          <w:p w:rsidR="006A6C50" w:rsidRDefault="006A6C50" w:rsidP="00363B58">
            <w:pPr>
              <w:spacing w:line="360" w:lineRule="auto"/>
              <w:rPr>
                <w:rFonts w:ascii="Times New Roman" w:hAnsi="Times New Roman" w:cs="Times New Roman"/>
                <w:sz w:val="24"/>
              </w:rPr>
            </w:pPr>
            <w:r>
              <w:rPr>
                <w:rFonts w:ascii="Times New Roman" w:hAnsi="Times New Roman" w:cs="Times New Roman"/>
                <w:sz w:val="24"/>
              </w:rPr>
              <w:t>Kurang Lancar</w:t>
            </w: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76.014.750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0,84</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18</w:t>
            </w:r>
          </w:p>
        </w:tc>
      </w:tr>
      <w:tr w:rsidR="006A6C50" w:rsidTr="006A6C50">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56" w:type="dxa"/>
            <w:tcBorders>
              <w:top w:val="single" w:sz="4" w:space="0" w:color="auto"/>
              <w:left w:val="single" w:sz="4" w:space="0" w:color="auto"/>
              <w:bottom w:val="single" w:sz="4" w:space="0" w:color="auto"/>
              <w:right w:val="single" w:sz="4" w:space="0" w:color="auto"/>
            </w:tcBorders>
            <w:vAlign w:val="bottom"/>
            <w:hideMark/>
          </w:tcPr>
          <w:p w:rsidR="006A6C50" w:rsidRDefault="006A6C50" w:rsidP="00363B58">
            <w:pPr>
              <w:spacing w:line="360" w:lineRule="auto"/>
              <w:rPr>
                <w:rFonts w:ascii="Times New Roman" w:hAnsi="Times New Roman" w:cs="Times New Roman"/>
                <w:sz w:val="24"/>
              </w:rPr>
            </w:pPr>
            <w:r>
              <w:rPr>
                <w:rFonts w:ascii="Times New Roman" w:hAnsi="Times New Roman" w:cs="Times New Roman"/>
                <w:sz w:val="24"/>
              </w:rPr>
              <w:t>Diragukan</w:t>
            </w: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43.108.250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0,48</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21</w:t>
            </w:r>
          </w:p>
        </w:tc>
      </w:tr>
      <w:tr w:rsidR="006A6C50" w:rsidTr="006A6C50">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4.</w:t>
            </w:r>
          </w:p>
        </w:tc>
        <w:tc>
          <w:tcPr>
            <w:tcW w:w="1956" w:type="dxa"/>
            <w:tcBorders>
              <w:top w:val="single" w:sz="4" w:space="0" w:color="auto"/>
              <w:left w:val="single" w:sz="4" w:space="0" w:color="auto"/>
              <w:bottom w:val="single" w:sz="4" w:space="0" w:color="auto"/>
              <w:right w:val="single" w:sz="4" w:space="0" w:color="auto"/>
            </w:tcBorders>
            <w:vAlign w:val="bottom"/>
            <w:hideMark/>
          </w:tcPr>
          <w:p w:rsidR="006A6C50" w:rsidRDefault="006A6C50" w:rsidP="00363B58">
            <w:pPr>
              <w:spacing w:line="360" w:lineRule="auto"/>
              <w:rPr>
                <w:rFonts w:ascii="Times New Roman" w:hAnsi="Times New Roman" w:cs="Times New Roman"/>
                <w:sz w:val="24"/>
              </w:rPr>
            </w:pPr>
            <w:r>
              <w:rPr>
                <w:rFonts w:ascii="Times New Roman" w:hAnsi="Times New Roman" w:cs="Times New Roman"/>
                <w:sz w:val="24"/>
              </w:rPr>
              <w:t>Macet</w:t>
            </w: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93.485.000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1,03</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51</w:t>
            </w:r>
          </w:p>
        </w:tc>
      </w:tr>
      <w:tr w:rsidR="006A6C50" w:rsidTr="006A6C50">
        <w:trPr>
          <w:jc w:val="center"/>
        </w:trPr>
        <w:tc>
          <w:tcPr>
            <w:tcW w:w="2579" w:type="dxa"/>
            <w:gridSpan w:val="2"/>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JUMLAH</w:t>
            </w:r>
          </w:p>
        </w:tc>
        <w:tc>
          <w:tcPr>
            <w:tcW w:w="159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9.046.862.150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1546" w:type="dxa"/>
            <w:tcBorders>
              <w:top w:val="single" w:sz="4" w:space="0" w:color="auto"/>
              <w:left w:val="single" w:sz="4" w:space="0" w:color="auto"/>
              <w:bottom w:val="single" w:sz="4" w:space="0" w:color="auto"/>
              <w:right w:val="single" w:sz="4" w:space="0" w:color="auto"/>
            </w:tcBorders>
            <w:vAlign w:val="center"/>
            <w:hideMark/>
          </w:tcPr>
          <w:p w:rsidR="006A6C50" w:rsidRDefault="006A6C50" w:rsidP="00363B58">
            <w:pPr>
              <w:spacing w:line="360" w:lineRule="auto"/>
              <w:jc w:val="center"/>
              <w:rPr>
                <w:rFonts w:ascii="Times New Roman" w:hAnsi="Times New Roman" w:cs="Times New Roman"/>
                <w:sz w:val="24"/>
              </w:rPr>
            </w:pPr>
            <w:r>
              <w:rPr>
                <w:rFonts w:ascii="Times New Roman" w:hAnsi="Times New Roman" w:cs="Times New Roman"/>
                <w:sz w:val="24"/>
              </w:rPr>
              <w:t>3002</w:t>
            </w:r>
          </w:p>
        </w:tc>
      </w:tr>
    </w:tbl>
    <w:p w:rsidR="006A6C50" w:rsidRDefault="006A6C50" w:rsidP="00363B58">
      <w:pPr>
        <w:spacing w:after="0" w:line="360" w:lineRule="auto"/>
        <w:rPr>
          <w:rFonts w:ascii="Times New Roman" w:hAnsi="Times New Roman" w:cs="Times New Roman"/>
          <w:sz w:val="20"/>
        </w:rPr>
      </w:pPr>
    </w:p>
    <w:p w:rsidR="00DC25A6" w:rsidRDefault="00DC25A6" w:rsidP="00363B58">
      <w:pPr>
        <w:spacing w:after="0" w:line="360" w:lineRule="auto"/>
        <w:ind w:left="426" w:firstLine="632"/>
        <w:jc w:val="both"/>
        <w:rPr>
          <w:rFonts w:ascii="Times New Roman" w:hAnsi="Times New Roman" w:cs="Times New Roman"/>
          <w:sz w:val="24"/>
        </w:rPr>
      </w:pPr>
      <w:r>
        <w:rPr>
          <w:rFonts w:ascii="Times New Roman" w:hAnsi="Times New Roman" w:cs="Times New Roman"/>
          <w:sz w:val="24"/>
        </w:rPr>
        <w:t>Pemberian kredit oleh KSP Sendang Artha Mandiri selalu diikuti dengan jaminan utang. Di dalam pemberian kredit, KSP Sendang Artha Mandiri menerima jaminan berupa hak tanggungan dan jaminan fidusia. Hak tanggungan yang biasa diterima oleh KSP Sendang Artha Mandiri adalah Sertifikat Hak Milik. Sedangkan untuk jaminan fidusi biasanya berupa BPKB</w:t>
      </w:r>
      <w:r w:rsidR="007560DA">
        <w:rPr>
          <w:rFonts w:ascii="Times New Roman" w:hAnsi="Times New Roman" w:cs="Times New Roman"/>
          <w:sz w:val="24"/>
        </w:rPr>
        <w:t xml:space="preserve"> motor dan mobil. Terutama yang akan penulis bahas adalah mengenai pemberian kredit dengan jaminan fidusia. </w:t>
      </w:r>
    </w:p>
    <w:p w:rsidR="006A6C50" w:rsidRDefault="006A6C50" w:rsidP="00363B58">
      <w:pPr>
        <w:spacing w:after="0" w:line="360" w:lineRule="auto"/>
        <w:ind w:left="426" w:firstLine="632"/>
        <w:jc w:val="both"/>
        <w:rPr>
          <w:rFonts w:ascii="Times New Roman" w:hAnsi="Times New Roman" w:cs="Times New Roman"/>
          <w:sz w:val="24"/>
        </w:rPr>
      </w:pPr>
      <w:r>
        <w:rPr>
          <w:rFonts w:ascii="Times New Roman" w:hAnsi="Times New Roman" w:cs="Times New Roman"/>
          <w:sz w:val="24"/>
        </w:rPr>
        <w:t>Pada awal tahun 2018, terdapat kasus wanprestasi di KSP Sendang Artha Mandiri. Dimana debitur dengan sengaja menjual motor yang dijadikan jaminan utang di KSP Sendang Artha Mandiri. Hal tersebut mengakibatkan debitur tidak dapat membayar angsuran atas utangnya. Yang akan penulis bahas adalah mengenai penyelesaian wanprestasi yang disebabkan oleh perbuatan debitur yang mengalihkan (menjual) objek fidusia yang dijadikan jaminan utangnya yaitu kepada  pihak ketiga. Hal yang dilakukan debitur ini bisa jadi tidak menjadi sebuah masalah apabila setelah menjual barang objek jaminan fidusia digunakan untuk melunasi utangnya. Namun dalam kasus ini setelah menjual benda objek jaminan fidusia, debitur tidak dapat melunasi utangnya.</w:t>
      </w:r>
    </w:p>
    <w:p w:rsidR="00077B14" w:rsidRPr="00077B14" w:rsidRDefault="00077B14" w:rsidP="00363B58">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Penyelesaian Wanprestasi Dalam Perjanjian Kredit Dengan Jaminan Fidusia Oleh KSP Sendang Artha Mandiri</w:t>
      </w:r>
    </w:p>
    <w:p w:rsidR="00363B58"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Perbuatan debitur ini dapat dikatakan sebagai perbuatan wanprestasi. Dimana debitur telah memenuhi unsur wanprestasi, yaitu debitur telah melakukan sesuatu yang tidak boleh dilakukan, yang kemudian menyebabkan debitur tidak dapat memenuhi prestasinya sebagaimana mestinya. Atas perbuatan debitur ini, KSP Sendang Artha Mandiri harus mengambi</w:t>
      </w:r>
      <w:r w:rsidR="00363B58">
        <w:rPr>
          <w:rFonts w:ascii="Times New Roman" w:hAnsi="Times New Roman" w:cs="Times New Roman"/>
          <w:sz w:val="24"/>
        </w:rPr>
        <w:t>l beberapa langkah penyelesaian, yaitu :</w:t>
      </w:r>
    </w:p>
    <w:p w:rsidR="00363B58" w:rsidRDefault="00363B58" w:rsidP="00363B58">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 xml:space="preserve">Pendekatan secara langsung, </w:t>
      </w:r>
      <w:r w:rsidR="006A6C50" w:rsidRPr="00363B58">
        <w:rPr>
          <w:rFonts w:ascii="Times New Roman" w:hAnsi="Times New Roman" w:cs="Times New Roman"/>
          <w:sz w:val="24"/>
        </w:rPr>
        <w:t xml:space="preserve">yaitu dengan pemberian tambahan waktu kepada debitur untuk membayar utang-utangnya. Petugas pemasaran berusaha membujuk debitur agar mau untuk membayar utangnya, walaupun objek jaminan utang sudah tidak ada. </w:t>
      </w:r>
    </w:p>
    <w:p w:rsidR="00363B58" w:rsidRDefault="00363B58" w:rsidP="00363B58">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lastRenderedPageBreak/>
        <w:t>S</w:t>
      </w:r>
      <w:r w:rsidR="006A6C50" w:rsidRPr="00363B58">
        <w:rPr>
          <w:rFonts w:ascii="Times New Roman" w:hAnsi="Times New Roman" w:cs="Times New Roman"/>
          <w:sz w:val="24"/>
        </w:rPr>
        <w:t xml:space="preserve">urat peringatan kepada debitur untuk membayar utangnya dalam jangka waktu yang telah ditetapkan oleh kreditur. Surat peringatan ini diberikan maksimal hingga tiga kali. </w:t>
      </w:r>
    </w:p>
    <w:p w:rsidR="001261FE" w:rsidRDefault="00363B58" w:rsidP="001261FE">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Novasi.</w:t>
      </w:r>
      <w:r w:rsidR="001261FE">
        <w:rPr>
          <w:rFonts w:ascii="Times New Roman" w:hAnsi="Times New Roman" w:cs="Times New Roman"/>
          <w:sz w:val="24"/>
        </w:rPr>
        <w:t xml:space="preserve"> </w:t>
      </w:r>
      <w:r>
        <w:rPr>
          <w:rFonts w:ascii="Times New Roman" w:hAnsi="Times New Roman" w:cs="Times New Roman"/>
          <w:sz w:val="24"/>
        </w:rPr>
        <w:t xml:space="preserve">Novasi adalah dibuatnya suatu perjanjian kredit  yang baru untuk  atau sebagai pengganti perjanjian kredit yang lama, sehingga  dengan  demikian  yang  hapus/berakhir  adalah  perjanjian  kredit  yang lama (Susanto, 2017: 134). Menurut Pasal 1413 KUHPerdata, novasi dapat dilakukan apabila seorang yang berhutang membuat suatu perikatan hutang baru guna  orang  yang  menghutangkan  kepadanya,  yang  menggantikan hutang yang lama, yang dihapuskan karenanya, apabila  seorang  berhutang  baru  ditunjuk  untuk  menggantikan  orang berhutang lama, yang oleh si berpiutang dibebaskan dari perikatannya, apabila  sebagai  akibat   suatu  persetujuan  baru,  seorang  berpiutang baru  ditunjuk  untuk  mengantikan  orang  berpiutang  lama,  terhadap siapa si berhutang dibebaskan dari perikatannya. </w:t>
      </w:r>
      <w:r w:rsidR="006A6C50" w:rsidRPr="001261FE">
        <w:rPr>
          <w:rFonts w:ascii="Times New Roman" w:hAnsi="Times New Roman" w:cs="Times New Roman"/>
          <w:sz w:val="24"/>
        </w:rPr>
        <w:t>Novasi yang ditawarkan oleh KSP Sendang Artha Mandiri adalah novasi objektif, dimana antara KSP Sendang Artha Mandiri sebagai kreditur dengan debiturnya sepakat untuk membuat perjanjian kredit baru dengan objek jaminan berbeda dan jumlah kredit di sesuaikan dengan jumlah kredit yang belum dibayar oleh debitur. Namun perlu diingat bahwa penerbitan novasi harus dilakukan dengan persetujuan terhadap semua pihak yang terlibat dan adanya pemberitahuan, karena pada dasarnya pengalihan debitur merupakan sebuah perjanjian. Hal ini diatur di dalam Pasal 1415 KUH Perdata yang berbunyi “Tiada pembaharuan utang yang dipersangkakan; kehendak seorang untuk mengadakannya harus tegas ternyata dari perbuatannya.”</w:t>
      </w:r>
    </w:p>
    <w:p w:rsidR="006A6C50" w:rsidRPr="001261FE" w:rsidRDefault="001261FE" w:rsidP="001261FE">
      <w:pPr>
        <w:pStyle w:val="ListParagraph"/>
        <w:numPr>
          <w:ilvl w:val="0"/>
          <w:numId w:val="13"/>
        </w:numPr>
        <w:spacing w:after="0" w:line="360" w:lineRule="auto"/>
        <w:jc w:val="both"/>
        <w:rPr>
          <w:rFonts w:ascii="Times New Roman" w:hAnsi="Times New Roman" w:cs="Times New Roman"/>
          <w:sz w:val="24"/>
        </w:rPr>
      </w:pPr>
      <w:r>
        <w:rPr>
          <w:rFonts w:ascii="Times New Roman" w:hAnsi="Times New Roman" w:cs="Times New Roman"/>
          <w:sz w:val="24"/>
        </w:rPr>
        <w:t xml:space="preserve">Menyita dan melelang harta kekayaan debitur lainnya. </w:t>
      </w:r>
      <w:r w:rsidR="006A6C50" w:rsidRPr="001261FE">
        <w:rPr>
          <w:rFonts w:ascii="Times New Roman" w:hAnsi="Times New Roman" w:cs="Times New Roman"/>
          <w:sz w:val="24"/>
        </w:rPr>
        <w:t xml:space="preserve">Hal ini sesuai dengan Pasal 1131 KUHPerdata yang berbunyi “Segala kebendaan si berutang, baik yang bergerak maupun yang tak bergerak, baik yang sudah ada maupun yang baru akan ada di kemudian hari, menjadi tanggungan untuk segala perikatan perseorangan.” Maksudnya segala harta benda debitur baik yang bergerak maupun tidak bergerak menjadi jaminan umum atas utangnya. Jadi ketika motor yang dijadikan jaminan atas utangnya sudah tidak ada (dialihkan), maka pihak kreditur dapat menyita benda-benda lain yang dimiliki debitur sebagai jaminan umum.   </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lastRenderedPageBreak/>
        <w:t>Sedangkan proses penyelesaian wanprestasi menurut UU Jaminan Fidusia sangatlah berbeda dengan proses penyelesaian yang dilakukan KSP Sendang Artha Mandiri. Menurut UU Jaminan Fidusia perbuatan debitur wanprestasi yang mengalihkan atau menjual objek jaminan fidusia merupakan perbuatan pidana. Sebagaimana diatur dalam Pasal 36 UU Jaminan Fidusia yang berbunyi :</w:t>
      </w:r>
    </w:p>
    <w:p w:rsidR="006A6C50" w:rsidRDefault="006A6C50" w:rsidP="00F0454E">
      <w:pPr>
        <w:spacing w:after="120" w:line="240" w:lineRule="auto"/>
        <w:ind w:left="1428" w:hanging="76"/>
        <w:jc w:val="both"/>
        <w:rPr>
          <w:rFonts w:ascii="Times New Roman" w:hAnsi="Times New Roman" w:cs="Times New Roman"/>
          <w:sz w:val="24"/>
        </w:rPr>
      </w:pPr>
      <w:r>
        <w:rPr>
          <w:rFonts w:ascii="Times New Roman" w:hAnsi="Times New Roman" w:cs="Times New Roman"/>
          <w:sz w:val="24"/>
        </w:rPr>
        <w:t xml:space="preserve"> “Pemberi Fidusia yang mengalihkan, menggadaikan, atau menyewakan benda yang menjadi objek Jaminan Fidusia sebagaimana dimaksud dalam Pasal 23 ayat (2) yang dilakukan tanpa persetujuan tertulis terlebih dahulu dari Penerima Fidusia, dipidan</w:t>
      </w:r>
      <w:bookmarkStart w:id="0" w:name="_GoBack"/>
      <w:bookmarkEnd w:id="0"/>
      <w:r>
        <w:rPr>
          <w:rFonts w:ascii="Times New Roman" w:hAnsi="Times New Roman" w:cs="Times New Roman"/>
          <w:sz w:val="24"/>
        </w:rPr>
        <w:t xml:space="preserve">a dengan pidana penjara paling lama 2 (dua) tahun dan denda paling banyak Rp. 50.000.000,- (lima puluh juta) rupiah.” </w:t>
      </w:r>
    </w:p>
    <w:p w:rsidR="006A6C50" w:rsidRDefault="006A6C50" w:rsidP="00363B58">
      <w:pPr>
        <w:spacing w:after="0" w:line="360" w:lineRule="auto"/>
        <w:ind w:left="720" w:firstLine="588"/>
        <w:jc w:val="both"/>
        <w:rPr>
          <w:rFonts w:ascii="Times New Roman" w:hAnsi="Times New Roman" w:cs="Times New Roman"/>
          <w:sz w:val="24"/>
        </w:rPr>
      </w:pPr>
      <w:r>
        <w:rPr>
          <w:rFonts w:ascii="Times New Roman" w:hAnsi="Times New Roman" w:cs="Times New Roman"/>
          <w:sz w:val="24"/>
        </w:rPr>
        <w:t>Secara hukum debitur</w:t>
      </w:r>
      <w:r w:rsidR="001261FE">
        <w:rPr>
          <w:rFonts w:ascii="Times New Roman" w:hAnsi="Times New Roman" w:cs="Times New Roman"/>
          <w:sz w:val="24"/>
        </w:rPr>
        <w:t xml:space="preserve"> dalam kasus ini</w:t>
      </w:r>
      <w:r>
        <w:rPr>
          <w:rFonts w:ascii="Times New Roman" w:hAnsi="Times New Roman" w:cs="Times New Roman"/>
          <w:sz w:val="24"/>
        </w:rPr>
        <w:t xml:space="preserve"> telah memenuhi unsur-unsur dalam Pasal 36 UU Jaminan Fidusia. Seharusnya debitur dapat dijerat dengan pasal ini. Debitur dapat dijatuhi hukuman penjara paling lama dua tahun dan denda paling banyak Rp50.000.000,-. Akan tetapi tindakan penyelesaian wanprestasi yang dilakukan KSP Sendang Artha Mandiri tidak sesuai dengan pasal tersebut. </w:t>
      </w:r>
    </w:p>
    <w:p w:rsidR="006A6C50" w:rsidRDefault="006A6C50" w:rsidP="00363B58">
      <w:pPr>
        <w:pStyle w:val="ListParagraph"/>
        <w:spacing w:line="360" w:lineRule="auto"/>
        <w:ind w:firstLine="600"/>
        <w:jc w:val="both"/>
        <w:rPr>
          <w:rFonts w:ascii="Times New Roman" w:hAnsi="Times New Roman" w:cs="Times New Roman"/>
          <w:sz w:val="24"/>
          <w:szCs w:val="24"/>
        </w:rPr>
      </w:pPr>
      <w:r>
        <w:rPr>
          <w:rFonts w:ascii="Times New Roman" w:hAnsi="Times New Roman" w:cs="Times New Roman"/>
          <w:sz w:val="24"/>
        </w:rPr>
        <w:t>Berdasarkan hasil penelitian penulis terdapat ketidaksesuaian</w:t>
      </w:r>
      <w:r w:rsidR="004B4EA8">
        <w:rPr>
          <w:rFonts w:ascii="Times New Roman" w:hAnsi="Times New Roman" w:cs="Times New Roman"/>
          <w:sz w:val="24"/>
        </w:rPr>
        <w:t xml:space="preserve"> atau perbedaan</w:t>
      </w:r>
      <w:r>
        <w:rPr>
          <w:rFonts w:ascii="Times New Roman" w:hAnsi="Times New Roman" w:cs="Times New Roman"/>
          <w:sz w:val="24"/>
        </w:rPr>
        <w:t xml:space="preserve"> dalam penyelesaian kasus debitur wanprestasi yang dilakukan oleh KSP Sendang Artha Mandiri dengan yang telah diatur dalam UU Jaminan Fidusia. Menurut UU Jaminan Fidusia, apabila terdapat perbuatan pemberi fidusia (debitur) yang mengalihkan objek jaminan fidusia tanpa persetujuan tertulis dari penerima fidusia (kreditur), maka debitur dapat dituntut secara hukum. Proses penyelesaian yang diatur dalam UU Jaminan Fidusia lebih ke jalur litigasi. Sedangkan KSP Sendang Artha Mandiri dalam proses penyelesaian kasus tersebut menggunakan jalur non litigasi. KSP Sendang Artha Mandiri sebagai sebuah koperasi merupakan badan usaha yang berbadan hukum dengan melandaskan kegiatannya berdasarkan prinsip koperasi sekaligus sebagai gerakan ekonomi rakyat yang berdasar atas asas kekeluargaan. Sebagai sebuah badan hukum, KSP Sendang Artha Mandiri merupakan salah satu subjek jaminan fidusia yang dapat memberikan pinjaman dengan jaminan fidusia. Hal ini ditegaskan di dalam </w:t>
      </w:r>
      <w:r>
        <w:rPr>
          <w:rFonts w:ascii="Times New Roman" w:hAnsi="Times New Roman" w:cs="Times New Roman"/>
          <w:sz w:val="24"/>
          <w:szCs w:val="24"/>
        </w:rPr>
        <w:t xml:space="preserve">Pasal 1 angka 6 UU Jaminan Fidusia yang berbunyi “Penerima Fidusia adalah orang perseorangan atau korporasi yang mempunyai piutang yang pembayarannya dijamin dengan Jaminan Fidusia”. Menurut Munir Fuadi (2016: 131), penerima fidusia adalah kreditur (pemberi pinjaman) baik itu bank sebagai pemberi kredit, orang perorangan maupun badan hukum  yang memberi pinjaman. Sehingga dalam hal ini KSP Sendang Artha Mandiri sebagai bahan hukum dapat menjadi Penerima Fidusia. Dengan begitu apabila terjadi kasus wanprestasi oleh debitur yang mengalihkan benda jaminan fidusia, maka KSP Sendang Artha Mandiri dapat </w:t>
      </w:r>
      <w:r>
        <w:rPr>
          <w:rFonts w:ascii="Times New Roman" w:hAnsi="Times New Roman" w:cs="Times New Roman"/>
          <w:sz w:val="24"/>
          <w:szCs w:val="24"/>
        </w:rPr>
        <w:lastRenderedPageBreak/>
        <w:t xml:space="preserve">mengambil tindakan yang sama seperti yang sudah diatur didalam Pasal 36 UU Jaminan Fidusia yang telah dijelaskan diatas. </w:t>
      </w:r>
    </w:p>
    <w:p w:rsidR="009D42CE" w:rsidRPr="001261FE" w:rsidRDefault="009D42CE" w:rsidP="001261FE">
      <w:pPr>
        <w:pStyle w:val="ListParagraph"/>
        <w:numPr>
          <w:ilvl w:val="0"/>
          <w:numId w:val="8"/>
        </w:numPr>
        <w:spacing w:line="360" w:lineRule="auto"/>
        <w:jc w:val="both"/>
        <w:rPr>
          <w:rFonts w:ascii="Times New Roman" w:hAnsi="Times New Roman" w:cs="Times New Roman"/>
          <w:sz w:val="24"/>
          <w:szCs w:val="24"/>
        </w:rPr>
      </w:pPr>
      <w:r w:rsidRPr="001261FE">
        <w:rPr>
          <w:rFonts w:ascii="Times New Roman" w:hAnsi="Times New Roman" w:cs="Times New Roman"/>
          <w:sz w:val="24"/>
          <w:szCs w:val="24"/>
        </w:rPr>
        <w:t>KSP Sendang Artha Mandiri Sebagai</w:t>
      </w:r>
      <w:r w:rsidR="001261FE">
        <w:rPr>
          <w:rFonts w:ascii="Times New Roman" w:hAnsi="Times New Roman" w:cs="Times New Roman"/>
          <w:sz w:val="24"/>
          <w:szCs w:val="24"/>
        </w:rPr>
        <w:t xml:space="preserve"> Badan Hukum Dalam Pertimbangan </w:t>
      </w:r>
      <w:r w:rsidRPr="001261FE">
        <w:rPr>
          <w:rFonts w:ascii="Times New Roman" w:hAnsi="Times New Roman" w:cs="Times New Roman"/>
          <w:sz w:val="24"/>
          <w:szCs w:val="24"/>
        </w:rPr>
        <w:t>Menyelesaikan Wanprestasi Tersebut Masih Memegang Prinsip Koperasi</w:t>
      </w:r>
    </w:p>
    <w:p w:rsidR="006A6C50" w:rsidRDefault="006A6C50" w:rsidP="00363B58">
      <w:pPr>
        <w:pStyle w:val="ListParagraph"/>
        <w:spacing w:after="0" w:line="36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Namun pada kenyataannya, KSP Sendang Artha Mandiri sebagai badan hukum yang berhak menerima jaminan fidusia tidak melakukan tindakan penyelesaian seperti  yang diatur di dalam UU Jaminan Fidusia. </w:t>
      </w:r>
      <w:r>
        <w:rPr>
          <w:rFonts w:ascii="Times New Roman" w:hAnsi="Times New Roman" w:cs="Times New Roman"/>
          <w:sz w:val="24"/>
        </w:rPr>
        <w:t>Hal ini disebabkan adanya asas dan prinsip koperasi itu sendiri. KSP Sendang Artha Mandiri merupakan koperasi simpan pinjam, dimana didirikan untuk memberi kesempatan kepada anggotanya untuk memperoleh pinjaman dengan mudah dan bunga ringan (Ikhsan Rochmadi, 2011: 48). Sama halnya seperti koperasi pada umumnya, KSP Sendang Artha Mandiri sebagai sebuah koperasi yang bergerak di bidang simpan pinjam juga memegang teguh asas dan prinsip koperasi.</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KSP Sendang Artha Mandiri memegang teguh asas kekeluargaan dalam kegiatan yang dilakukannya. Hal ini telah ditegaskan didalam Pasal Pasal 2 UU Nomor 25 Tahun 1992 tentang Perkoperasian yang berbunyi “Koperasi berlandaskan Pancasila dan Undang-Undang Dasar 1945 serta berdasar atas asas kekeluargaan”. Asas kekeluargaan mengandung makna adanya prinsip kebersamaan (</w:t>
      </w:r>
      <w:r>
        <w:rPr>
          <w:rFonts w:ascii="Times New Roman" w:hAnsi="Times New Roman" w:cs="Times New Roman"/>
          <w:i/>
          <w:sz w:val="24"/>
        </w:rPr>
        <w:t>mutual help</w:t>
      </w:r>
      <w:r>
        <w:rPr>
          <w:rFonts w:ascii="Times New Roman" w:hAnsi="Times New Roman" w:cs="Times New Roman"/>
          <w:sz w:val="24"/>
        </w:rPr>
        <w:t>) dan kerjasama (</w:t>
      </w:r>
      <w:r>
        <w:rPr>
          <w:rFonts w:ascii="Times New Roman" w:hAnsi="Times New Roman" w:cs="Times New Roman"/>
          <w:i/>
          <w:sz w:val="24"/>
        </w:rPr>
        <w:t>group action</w:t>
      </w:r>
      <w:r>
        <w:rPr>
          <w:rFonts w:ascii="Times New Roman" w:hAnsi="Times New Roman" w:cs="Times New Roman"/>
          <w:sz w:val="24"/>
        </w:rPr>
        <w:t xml:space="preserve">). Prinsip kebersamaan mengandung makna bahwa kepemilikan bersama atas sumber produksi merupakan hal yang penting, dengan tetap memperhatikan unsur keadilan dalam bekerjasama (Sugiharsono, 2009: 28). Asas kekeluargaan juga dapat diartikan sebagai dasar sebuah koperasi yang dalam melaksanakan kegiatannya dan menyelesaikan permasalahan-permasalahan yang dihadapinya dengan prinsip </w:t>
      </w:r>
      <w:r>
        <w:rPr>
          <w:rFonts w:ascii="Times New Roman" w:hAnsi="Times New Roman" w:cs="Times New Roman"/>
          <w:i/>
          <w:sz w:val="24"/>
        </w:rPr>
        <w:t>win-win solution</w:t>
      </w:r>
      <w:r>
        <w:rPr>
          <w:rFonts w:ascii="Times New Roman" w:hAnsi="Times New Roman" w:cs="Times New Roman"/>
          <w:sz w:val="24"/>
        </w:rPr>
        <w:t xml:space="preserve">. </w:t>
      </w:r>
    </w:p>
    <w:p w:rsidR="006A6C50" w:rsidRDefault="006A6C50" w:rsidP="001261FE">
      <w:pPr>
        <w:spacing w:after="0" w:line="360" w:lineRule="auto"/>
        <w:ind w:left="720" w:firstLine="632"/>
        <w:jc w:val="both"/>
        <w:rPr>
          <w:rFonts w:ascii="Times New Roman" w:hAnsi="Times New Roman" w:cs="Times New Roman"/>
          <w:sz w:val="24"/>
        </w:rPr>
      </w:pPr>
      <w:r>
        <w:rPr>
          <w:rFonts w:ascii="Times New Roman" w:hAnsi="Times New Roman" w:cs="Times New Roman"/>
          <w:i/>
          <w:sz w:val="24"/>
        </w:rPr>
        <w:t>Win-win solution</w:t>
      </w:r>
      <w:r>
        <w:rPr>
          <w:rFonts w:ascii="Times New Roman" w:hAnsi="Times New Roman" w:cs="Times New Roman"/>
          <w:sz w:val="24"/>
        </w:rPr>
        <w:t xml:space="preserve"> merupakan salah satu jenis proses penyelesaian sengketa tanpa melalui jalur litigasi. Menurut Ayi Sobarna (2002: 386) </w:t>
      </w:r>
      <w:r>
        <w:rPr>
          <w:rFonts w:ascii="Times New Roman" w:hAnsi="Times New Roman" w:cs="Times New Roman"/>
          <w:i/>
          <w:sz w:val="24"/>
        </w:rPr>
        <w:t>win-win solution</w:t>
      </w:r>
      <w:r>
        <w:rPr>
          <w:rFonts w:ascii="Times New Roman" w:hAnsi="Times New Roman" w:cs="Times New Roman"/>
          <w:sz w:val="24"/>
        </w:rPr>
        <w:t xml:space="preserve"> adalah kerangka pikir dan hati yang selalu berusaha memperoleh keuntungan bersama dalam setiap interaksi manusia. Sedangkan menurut Devi Wahyuni (2015: 179), </w:t>
      </w:r>
      <w:r>
        <w:rPr>
          <w:rFonts w:ascii="Times New Roman" w:hAnsi="Times New Roman" w:cs="Times New Roman"/>
          <w:i/>
          <w:sz w:val="24"/>
        </w:rPr>
        <w:t xml:space="preserve">Win-win solution </w:t>
      </w:r>
      <w:r>
        <w:rPr>
          <w:rFonts w:ascii="Times New Roman" w:hAnsi="Times New Roman" w:cs="Times New Roman"/>
          <w:sz w:val="24"/>
        </w:rPr>
        <w:t xml:space="preserve">adalah strategi yang dapat menyelesaikan masalah dengan keputusan yang menguntungkan kedua belah pihak.Proses penyelesaian sengketa dengan prinsip </w:t>
      </w:r>
      <w:r>
        <w:rPr>
          <w:rFonts w:ascii="Times New Roman" w:hAnsi="Times New Roman" w:cs="Times New Roman"/>
          <w:i/>
          <w:sz w:val="24"/>
        </w:rPr>
        <w:t>win-win solution</w:t>
      </w:r>
      <w:r>
        <w:rPr>
          <w:rFonts w:ascii="Times New Roman" w:hAnsi="Times New Roman" w:cs="Times New Roman"/>
          <w:sz w:val="24"/>
        </w:rPr>
        <w:t xml:space="preserve"> lebih mengutamakan kesepakatan di antara para pihak. Sehingga keputusan yang diambil merupakan putusan yang sama-sama di kehendaki oleh para pihak. </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 xml:space="preserve">Proses penyelesaian sengketa dengan prinsip </w:t>
      </w:r>
      <w:r>
        <w:rPr>
          <w:rFonts w:ascii="Times New Roman" w:hAnsi="Times New Roman" w:cs="Times New Roman"/>
          <w:i/>
          <w:sz w:val="24"/>
        </w:rPr>
        <w:t xml:space="preserve">win-win solution </w:t>
      </w:r>
      <w:r>
        <w:rPr>
          <w:rFonts w:ascii="Times New Roman" w:hAnsi="Times New Roman" w:cs="Times New Roman"/>
          <w:sz w:val="24"/>
        </w:rPr>
        <w:t xml:space="preserve">ada dua model. Pertama, model yang digunakan di dalam pengadilan disebut </w:t>
      </w:r>
      <w:r>
        <w:rPr>
          <w:rFonts w:ascii="Times New Roman" w:hAnsi="Times New Roman" w:cs="Times New Roman"/>
          <w:i/>
          <w:sz w:val="24"/>
        </w:rPr>
        <w:t xml:space="preserve">Court Connected </w:t>
      </w:r>
      <w:r>
        <w:rPr>
          <w:rFonts w:ascii="Times New Roman" w:hAnsi="Times New Roman" w:cs="Times New Roman"/>
          <w:sz w:val="24"/>
        </w:rPr>
        <w:t xml:space="preserve">ADR/ </w:t>
      </w:r>
      <w:r>
        <w:rPr>
          <w:rFonts w:ascii="Times New Roman" w:hAnsi="Times New Roman" w:cs="Times New Roman"/>
          <w:sz w:val="24"/>
        </w:rPr>
        <w:lastRenderedPageBreak/>
        <w:t xml:space="preserve">ADR </w:t>
      </w:r>
      <w:r>
        <w:rPr>
          <w:rFonts w:ascii="Times New Roman" w:hAnsi="Times New Roman" w:cs="Times New Roman"/>
          <w:i/>
          <w:sz w:val="24"/>
        </w:rPr>
        <w:t xml:space="preserve">insidethe court/Court Dispute Resolution </w:t>
      </w:r>
      <w:r>
        <w:rPr>
          <w:rFonts w:ascii="Times New Roman" w:hAnsi="Times New Roman" w:cs="Times New Roman"/>
          <w:sz w:val="24"/>
        </w:rPr>
        <w:t>(CDR) yang meliputi: Perdamaian di Pengadilan; Pemeriksaan Juri Sumir; Evaluasi Netral secara Dini (</w:t>
      </w:r>
      <w:r>
        <w:rPr>
          <w:rFonts w:ascii="Times New Roman" w:hAnsi="Times New Roman" w:cs="Times New Roman"/>
          <w:i/>
          <w:sz w:val="24"/>
        </w:rPr>
        <w:t>Early Neutral Evaluation</w:t>
      </w:r>
      <w:r>
        <w:rPr>
          <w:rFonts w:ascii="Times New Roman" w:hAnsi="Times New Roman" w:cs="Times New Roman"/>
          <w:sz w:val="24"/>
        </w:rPr>
        <w:t>); Pencarian Fakta yang bersifat Netral (</w:t>
      </w:r>
      <w:r>
        <w:rPr>
          <w:rFonts w:ascii="Times New Roman" w:hAnsi="Times New Roman" w:cs="Times New Roman"/>
          <w:i/>
          <w:sz w:val="24"/>
        </w:rPr>
        <w:t>Neutral Fact-Finding</w:t>
      </w:r>
      <w:r>
        <w:rPr>
          <w:rFonts w:ascii="Times New Roman" w:hAnsi="Times New Roman" w:cs="Times New Roman"/>
          <w:sz w:val="24"/>
        </w:rPr>
        <w:t>). Sedangkan model yang digunakan di luar pengadilan diantaranya meliputi: negosiasi, mediasi, konsiliasi, Persidangan Mini (</w:t>
      </w:r>
      <w:r>
        <w:rPr>
          <w:rFonts w:ascii="Times New Roman" w:hAnsi="Times New Roman" w:cs="Times New Roman"/>
          <w:i/>
          <w:sz w:val="24"/>
        </w:rPr>
        <w:t>Mini Trial</w:t>
      </w:r>
      <w:r>
        <w:rPr>
          <w:rFonts w:ascii="Times New Roman" w:hAnsi="Times New Roman" w:cs="Times New Roman"/>
          <w:sz w:val="24"/>
        </w:rPr>
        <w:t xml:space="preserve">), dan Ombudsman atau </w:t>
      </w:r>
      <w:r>
        <w:rPr>
          <w:rFonts w:ascii="Times New Roman" w:hAnsi="Times New Roman" w:cs="Times New Roman"/>
          <w:i/>
          <w:sz w:val="24"/>
        </w:rPr>
        <w:t>Ombudsperson</w:t>
      </w:r>
      <w:r>
        <w:rPr>
          <w:rFonts w:ascii="Times New Roman" w:hAnsi="Times New Roman" w:cs="Times New Roman"/>
          <w:sz w:val="24"/>
        </w:rPr>
        <w:t xml:space="preserve"> (Mashari, 2010: 194).</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 xml:space="preserve">KSP Sendang Artha Mandiri dalam menyelesaikan kasus wanprestasi yang dialaminya yang berpegang pada asas kekeluargaan dengan prinsip </w:t>
      </w:r>
      <w:r>
        <w:rPr>
          <w:rFonts w:ascii="Times New Roman" w:hAnsi="Times New Roman" w:cs="Times New Roman"/>
          <w:i/>
          <w:sz w:val="24"/>
        </w:rPr>
        <w:t>win-win solution</w:t>
      </w:r>
      <w:r>
        <w:rPr>
          <w:rFonts w:ascii="Times New Roman" w:hAnsi="Times New Roman" w:cs="Times New Roman"/>
          <w:sz w:val="24"/>
        </w:rPr>
        <w:t xml:space="preserve"> dengan model negosiasi di antara para pihak. Negosiasi adalah salah satu bentuk alternatif penyelesaian masalah yang hanya melibatkan kedua belah pihak yang bersengketa, dimana mereka masing-masing mempunyai hak untuk menyampaikankan pendapatnya hingga diperoleh suatu kesepakatan bersama. </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Negosiasi yang dilakukan pihak KSP Sendang Artha Mandiri (kreditur) dengan debitur dilakukan secara langsung tanpa mediator dari pihak luar. Hal ini dilakukan agar tercapai kesepakatan yang tidak merugikan salah satu pihak, walaupun secara nyata pihak KSP Sendang Artha Mandiri tetap akan dirugikan karena diulurnya waktu pelunasan utang debitur wanprestasi. Namun hal ini tetap dilakukan KSP Sendang Artha Mandiri sebagaimana sebuah koperasi simpan pinjam yang memberikan pinjaman kepada masyarakat menengah ke bawah dengan bunga yang ringan dan proses yang mudah dengan mengedepankan asas kekeluargaan di setiap kegiatan yang dilakukan.</w:t>
      </w:r>
    </w:p>
    <w:p w:rsidR="006A6C50" w:rsidRDefault="006A6C50" w:rsidP="00363B58">
      <w:pPr>
        <w:spacing w:after="0" w:line="360" w:lineRule="auto"/>
        <w:ind w:left="720" w:firstLine="632"/>
        <w:jc w:val="both"/>
        <w:rPr>
          <w:rFonts w:ascii="Times New Roman" w:hAnsi="Times New Roman" w:cs="Times New Roman"/>
          <w:sz w:val="24"/>
        </w:rPr>
      </w:pPr>
      <w:r>
        <w:rPr>
          <w:rFonts w:ascii="Times New Roman" w:hAnsi="Times New Roman" w:cs="Times New Roman"/>
          <w:sz w:val="24"/>
        </w:rPr>
        <w:t>KSP Sendang Artha Mandiri lebih memilih jalur non-litigasi dibanding jalur litigasi dalam penyelesaian kasus debitur wanprestasi. Berdasarkan hasil wawancara penulis dengan Bu Ning selaku Bagian Keuangan KSP Sendang Artha Mandiri, terdapat beberapa pertimbangan mengapa KSP Sendang Artha Mandiri lebih memilih jalur non-litigasi, antara lain:</w:t>
      </w:r>
    </w:p>
    <w:p w:rsidR="006A6C50" w:rsidRDefault="006A6C50" w:rsidP="00363B58">
      <w:pPr>
        <w:pStyle w:val="ListParagraph"/>
        <w:numPr>
          <w:ilvl w:val="0"/>
          <w:numId w:val="7"/>
        </w:numPr>
        <w:spacing w:after="0" w:line="360" w:lineRule="auto"/>
        <w:ind w:left="1712"/>
        <w:jc w:val="both"/>
        <w:rPr>
          <w:rFonts w:ascii="Times New Roman" w:hAnsi="Times New Roman" w:cs="Times New Roman"/>
          <w:sz w:val="24"/>
        </w:rPr>
      </w:pPr>
      <w:r>
        <w:rPr>
          <w:rFonts w:ascii="Times New Roman" w:hAnsi="Times New Roman" w:cs="Times New Roman"/>
          <w:sz w:val="24"/>
        </w:rPr>
        <w:t>Prosesnya tidak rumit</w:t>
      </w:r>
    </w:p>
    <w:p w:rsidR="006A6C50" w:rsidRDefault="006A6C50" w:rsidP="00363B58">
      <w:pPr>
        <w:pStyle w:val="ListParagraph"/>
        <w:numPr>
          <w:ilvl w:val="0"/>
          <w:numId w:val="7"/>
        </w:numPr>
        <w:spacing w:after="0" w:line="360" w:lineRule="auto"/>
        <w:ind w:left="1712"/>
        <w:jc w:val="both"/>
        <w:rPr>
          <w:rFonts w:ascii="Times New Roman" w:hAnsi="Times New Roman" w:cs="Times New Roman"/>
          <w:sz w:val="24"/>
        </w:rPr>
      </w:pPr>
      <w:r>
        <w:rPr>
          <w:rFonts w:ascii="Times New Roman" w:hAnsi="Times New Roman" w:cs="Times New Roman"/>
          <w:sz w:val="24"/>
        </w:rPr>
        <w:t>Biaya murah</w:t>
      </w:r>
    </w:p>
    <w:p w:rsidR="006A6C50" w:rsidRDefault="006A6C50" w:rsidP="00363B58">
      <w:pPr>
        <w:pStyle w:val="ListParagraph"/>
        <w:numPr>
          <w:ilvl w:val="0"/>
          <w:numId w:val="7"/>
        </w:numPr>
        <w:spacing w:after="0" w:line="360" w:lineRule="auto"/>
        <w:ind w:left="1712"/>
        <w:jc w:val="both"/>
        <w:rPr>
          <w:rFonts w:ascii="Times New Roman" w:hAnsi="Times New Roman" w:cs="Times New Roman"/>
          <w:sz w:val="24"/>
        </w:rPr>
      </w:pPr>
      <w:r>
        <w:rPr>
          <w:rFonts w:ascii="Times New Roman" w:hAnsi="Times New Roman" w:cs="Times New Roman"/>
          <w:sz w:val="24"/>
        </w:rPr>
        <w:t>Tidak membutuhkan waktu yang lama</w:t>
      </w:r>
    </w:p>
    <w:p w:rsidR="006A6C50" w:rsidRDefault="006A6C50" w:rsidP="00363B58">
      <w:pPr>
        <w:pStyle w:val="ListParagraph"/>
        <w:numPr>
          <w:ilvl w:val="0"/>
          <w:numId w:val="7"/>
        </w:numPr>
        <w:spacing w:after="0" w:line="360" w:lineRule="auto"/>
        <w:ind w:left="1712"/>
        <w:jc w:val="both"/>
        <w:rPr>
          <w:rFonts w:ascii="Times New Roman" w:hAnsi="Times New Roman" w:cs="Times New Roman"/>
          <w:sz w:val="24"/>
        </w:rPr>
      </w:pPr>
      <w:r>
        <w:rPr>
          <w:rFonts w:ascii="Times New Roman" w:hAnsi="Times New Roman" w:cs="Times New Roman"/>
          <w:sz w:val="24"/>
        </w:rPr>
        <w:t>Keputusan yang dihasilakan merupakan kesepakatan para pihak</w:t>
      </w:r>
    </w:p>
    <w:p w:rsidR="009D42CE" w:rsidRDefault="00C94F27" w:rsidP="00363B58">
      <w:pPr>
        <w:pStyle w:val="ListParagraph"/>
        <w:numPr>
          <w:ilvl w:val="0"/>
          <w:numId w:val="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Simpulan</w:t>
      </w:r>
    </w:p>
    <w:p w:rsidR="009D42CE" w:rsidRDefault="009D42CE" w:rsidP="00363B58">
      <w:pPr>
        <w:pStyle w:val="ListParagraph"/>
        <w:spacing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 xml:space="preserve">Penyelesaian wanprestasi dalam perjanjian kredit dengan jaminan fidusia yang dilakukan KSP Sendang Artha Mandiri antara lain : 1) Pendekatan secara langsung; 2) Surat Peringatan; 3) Novasi; dan 4) Penyitaan dan pelelangan harta kekayaan umum debitur. </w:t>
      </w:r>
      <w:r>
        <w:rPr>
          <w:rFonts w:ascii="Times New Roman" w:hAnsi="Times New Roman" w:cs="Times New Roman"/>
          <w:sz w:val="24"/>
        </w:rPr>
        <w:t>Sedangkan m</w:t>
      </w:r>
      <w:r w:rsidRPr="009D42CE">
        <w:rPr>
          <w:rFonts w:ascii="Times New Roman" w:hAnsi="Times New Roman" w:cs="Times New Roman"/>
          <w:sz w:val="24"/>
        </w:rPr>
        <w:t xml:space="preserve">enurut UU Jaminan Fidusia, apabila terdapat perbuatan pemberi </w:t>
      </w:r>
      <w:r w:rsidRPr="009D42CE">
        <w:rPr>
          <w:rFonts w:ascii="Times New Roman" w:hAnsi="Times New Roman" w:cs="Times New Roman"/>
          <w:sz w:val="24"/>
        </w:rPr>
        <w:lastRenderedPageBreak/>
        <w:t>fidusia (debitur) yang mengalihkan objek jaminan fidusia tanpa persetujuan tertulis dari penerima fidusia (kreditur), maka debitur dapat dituntut secara hukum.</w:t>
      </w:r>
      <w:r>
        <w:rPr>
          <w:rFonts w:ascii="Times New Roman" w:hAnsi="Times New Roman" w:cs="Times New Roman"/>
          <w:sz w:val="24"/>
        </w:rPr>
        <w:t xml:space="preserve"> Dalam hal ini terdapat perbedaan dalam penyelesaian wanprestasi dalam perjanjian kredit dengan jaminan fidusia antara KSP Sendang Artha Mandiri dan UU Jaminan Fidusia.</w:t>
      </w:r>
      <w:r w:rsidR="004B4EA8">
        <w:rPr>
          <w:rFonts w:ascii="Times New Roman" w:hAnsi="Times New Roman" w:cs="Times New Roman"/>
          <w:sz w:val="24"/>
        </w:rPr>
        <w:t xml:space="preserve"> </w:t>
      </w:r>
      <w:r w:rsidRPr="004B4EA8">
        <w:rPr>
          <w:rFonts w:ascii="Times New Roman" w:hAnsi="Times New Roman" w:cs="Times New Roman"/>
          <w:sz w:val="24"/>
          <w:szCs w:val="24"/>
        </w:rPr>
        <w:t xml:space="preserve">Hal ini disebabkan KSP Sendang Artha Mandiri sebagai sebuah koperasi yang bergerak di bidang simpan pinjam tetap memegang teguh asas koperasi yaitu asas kekeluargaan. Asas kekeluargaan dapat diartikan sebagai dasar sebuah koperasi yang dalam melaksanakan kegiatannya dan menyelesaikan permasalahan-permasalahan yang dihadapinya dengan prinsip </w:t>
      </w:r>
      <w:r w:rsidRPr="004B4EA8">
        <w:rPr>
          <w:rFonts w:ascii="Times New Roman" w:hAnsi="Times New Roman" w:cs="Times New Roman"/>
          <w:i/>
          <w:sz w:val="24"/>
          <w:szCs w:val="24"/>
        </w:rPr>
        <w:t>win-win solution.</w:t>
      </w:r>
      <w:r w:rsidRPr="004B4EA8">
        <w:rPr>
          <w:rFonts w:ascii="Times New Roman" w:hAnsi="Times New Roman" w:cs="Times New Roman"/>
          <w:sz w:val="24"/>
          <w:szCs w:val="24"/>
        </w:rPr>
        <w:t xml:space="preserve"> </w:t>
      </w:r>
    </w:p>
    <w:p w:rsidR="004B4EA8" w:rsidRPr="004B4EA8" w:rsidRDefault="004B4EA8" w:rsidP="00363B58">
      <w:pPr>
        <w:pStyle w:val="ListParagraph"/>
        <w:spacing w:line="360" w:lineRule="auto"/>
        <w:ind w:left="426" w:firstLine="588"/>
        <w:jc w:val="both"/>
        <w:rPr>
          <w:rFonts w:ascii="Times New Roman" w:hAnsi="Times New Roman" w:cs="Times New Roman"/>
          <w:sz w:val="24"/>
        </w:rPr>
      </w:pPr>
    </w:p>
    <w:p w:rsidR="004B4EA8" w:rsidRDefault="00C94F27" w:rsidP="00363B58">
      <w:pPr>
        <w:pStyle w:val="ListParagraph"/>
        <w:numPr>
          <w:ilvl w:val="0"/>
          <w:numId w:val="1"/>
        </w:numPr>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S</w:t>
      </w:r>
      <w:r w:rsidR="004B4EA8">
        <w:rPr>
          <w:rFonts w:ascii="Times New Roman" w:hAnsi="Times New Roman" w:cs="Times New Roman"/>
          <w:b/>
          <w:sz w:val="24"/>
          <w:szCs w:val="24"/>
        </w:rPr>
        <w:t>aran</w:t>
      </w:r>
    </w:p>
    <w:p w:rsidR="004B4EA8" w:rsidRPr="004B4EA8" w:rsidRDefault="004B4EA8" w:rsidP="00363B58">
      <w:pPr>
        <w:pStyle w:val="ListParagraph"/>
        <w:numPr>
          <w:ilvl w:val="0"/>
          <w:numId w:val="10"/>
        </w:numPr>
        <w:spacing w:line="360" w:lineRule="auto"/>
        <w:jc w:val="both"/>
        <w:rPr>
          <w:rFonts w:ascii="Times New Roman" w:hAnsi="Times New Roman" w:cs="Times New Roman"/>
          <w:sz w:val="24"/>
          <w:szCs w:val="24"/>
        </w:rPr>
      </w:pPr>
      <w:r w:rsidRPr="004B4EA8">
        <w:rPr>
          <w:rFonts w:ascii="Times New Roman" w:hAnsi="Times New Roman" w:cs="Times New Roman"/>
          <w:sz w:val="24"/>
          <w:szCs w:val="24"/>
        </w:rPr>
        <w:t>Dalam rangka menghindari terjadi permasalahan yang tidak diinginkan seperti wanprestasi, KSP Sendang Artha Mandiri sebaiknya lebih hati-hati, teliti, dan lebih selektif dalam memberikan pinjaman kepada debiturnya. Selain itu, hendakya KSP Sendang Artha Mandiri meminta (menyimpan) bukti asli kepemilikan kendaraan ataupun sertifikat yang dijadikan jaminan atas utang debitur. Sebab selama ini KSP Sendang Artha Mandiri hanya meminta fotocopy bukti kepemilikan benda yang dijadikan jaminan utang. Adapun apabila ada yang asli hanya digunakan untuk menunjukkan keasliannya saja. Dengan begitu diharapkan kedudukan KSP Sendang Artha Mandiri sebagai kreditur menjadi lebih kuat apabila terdapat kasus serupa.</w:t>
      </w:r>
    </w:p>
    <w:p w:rsidR="004B4EA8" w:rsidRDefault="004B4EA8" w:rsidP="00363B58">
      <w:pPr>
        <w:pStyle w:val="ListParagraph"/>
        <w:numPr>
          <w:ilvl w:val="0"/>
          <w:numId w:val="10"/>
        </w:numPr>
        <w:spacing w:line="360" w:lineRule="auto"/>
        <w:jc w:val="both"/>
        <w:rPr>
          <w:rFonts w:ascii="Times New Roman" w:hAnsi="Times New Roman" w:cs="Times New Roman"/>
          <w:sz w:val="24"/>
          <w:szCs w:val="24"/>
        </w:rPr>
      </w:pPr>
      <w:r w:rsidRPr="004B4EA8">
        <w:rPr>
          <w:rFonts w:ascii="Times New Roman" w:hAnsi="Times New Roman" w:cs="Times New Roman"/>
          <w:sz w:val="24"/>
          <w:szCs w:val="24"/>
        </w:rPr>
        <w:t>Sebagai debitur hendaknya selalu memiliki itikad baik, tidak berbuat sesuatu yang melanggar isi perjanjian. Sehingga tidak akan menimbulkan kerugian bagi pihak lain (kreditur), dan isi dari perjanjian dapat dilaksanakan dengan baik.</w:t>
      </w:r>
    </w:p>
    <w:p w:rsidR="001261FE" w:rsidRPr="004B4EA8" w:rsidRDefault="001261FE" w:rsidP="001261FE">
      <w:pPr>
        <w:pStyle w:val="ListParagraph"/>
        <w:spacing w:line="360" w:lineRule="auto"/>
        <w:ind w:left="786"/>
        <w:jc w:val="both"/>
        <w:rPr>
          <w:rFonts w:ascii="Times New Roman" w:hAnsi="Times New Roman" w:cs="Times New Roman"/>
          <w:sz w:val="24"/>
          <w:szCs w:val="24"/>
        </w:rPr>
      </w:pPr>
    </w:p>
    <w:p w:rsidR="00C94F27" w:rsidRPr="00363B58" w:rsidRDefault="00C94F27" w:rsidP="00B52679">
      <w:pPr>
        <w:pStyle w:val="ListParagraph"/>
        <w:numPr>
          <w:ilvl w:val="0"/>
          <w:numId w:val="1"/>
        </w:numPr>
        <w:spacing w:line="360" w:lineRule="auto"/>
        <w:ind w:left="426"/>
        <w:rPr>
          <w:rFonts w:ascii="Times New Roman" w:hAnsi="Times New Roman" w:cs="Times New Roman"/>
          <w:b/>
          <w:sz w:val="24"/>
          <w:szCs w:val="24"/>
        </w:rPr>
      </w:pPr>
      <w:r w:rsidRPr="00363B58">
        <w:rPr>
          <w:rFonts w:ascii="Times New Roman" w:hAnsi="Times New Roman" w:cs="Times New Roman"/>
          <w:b/>
          <w:sz w:val="24"/>
          <w:szCs w:val="24"/>
        </w:rPr>
        <w:t>Daftar Pustaka</w:t>
      </w:r>
    </w:p>
    <w:p w:rsidR="00B83C1E" w:rsidRDefault="00B83C1E"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Ayi Sobarna.2002. “Pendekatan </w:t>
      </w:r>
      <w:r>
        <w:rPr>
          <w:rFonts w:ascii="Times New Roman" w:hAnsi="Times New Roman" w:cs="Times New Roman"/>
          <w:i/>
          <w:sz w:val="24"/>
        </w:rPr>
        <w:t>Win-win Solution</w:t>
      </w:r>
      <w:r>
        <w:rPr>
          <w:rFonts w:ascii="Times New Roman" w:hAnsi="Times New Roman" w:cs="Times New Roman"/>
          <w:sz w:val="24"/>
        </w:rPr>
        <w:t xml:space="preserve"> Dalam Mengatasi Terorisme Internasional: Tantangan dan Peluang”. </w:t>
      </w:r>
      <w:r>
        <w:rPr>
          <w:rFonts w:ascii="Times New Roman" w:hAnsi="Times New Roman" w:cs="Times New Roman"/>
          <w:i/>
          <w:sz w:val="24"/>
        </w:rPr>
        <w:t>Jurnal Sosial dan Pembangunan</w:t>
      </w:r>
      <w:r>
        <w:rPr>
          <w:rFonts w:ascii="Times New Roman" w:hAnsi="Times New Roman" w:cs="Times New Roman"/>
          <w:sz w:val="24"/>
        </w:rPr>
        <w:t>, Vol. 18 No.4. Bandung: Universitas Islam Bandung.</w:t>
      </w:r>
    </w:p>
    <w:p w:rsidR="00DC090D" w:rsidRDefault="00DC090D"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Devi Wahyuni. 2015. “Proses Negosiasi Dalam Kerjasama PT Arina Mahakarya Dengan PT Rama Indonesia”. </w:t>
      </w:r>
      <w:r w:rsidR="00B52679">
        <w:rPr>
          <w:rFonts w:ascii="Times New Roman" w:hAnsi="Times New Roman" w:cs="Times New Roman"/>
          <w:i/>
          <w:sz w:val="24"/>
        </w:rPr>
        <w:t xml:space="preserve">Jurnal Ilmiah Ilmu Komunikasi, </w:t>
      </w:r>
      <w:r>
        <w:rPr>
          <w:rFonts w:ascii="Times New Roman" w:hAnsi="Times New Roman" w:cs="Times New Roman"/>
          <w:sz w:val="24"/>
        </w:rPr>
        <w:t>Vol. XIV No. 2. Jakarta: Universitas Prof. Dr. Moestopo</w:t>
      </w:r>
      <w:r w:rsidR="00DC25A6">
        <w:rPr>
          <w:rFonts w:ascii="Times New Roman" w:hAnsi="Times New Roman" w:cs="Times New Roman"/>
          <w:sz w:val="24"/>
        </w:rPr>
        <w:t>.</w:t>
      </w:r>
    </w:p>
    <w:p w:rsidR="00B52679" w:rsidRDefault="00B52679" w:rsidP="00B52679">
      <w:pPr>
        <w:pStyle w:val="Bibliography"/>
        <w:spacing w:line="24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Endi</w:t>
      </w:r>
      <w:r>
        <w:rPr>
          <w:rFonts w:ascii="Times New Roman" w:hAnsi="Times New Roman" w:cs="Times New Roman"/>
          <w:noProof/>
          <w:sz w:val="24"/>
          <w:szCs w:val="24"/>
        </w:rPr>
        <w:t xml:space="preserve"> Sarwoko</w:t>
      </w:r>
      <w:r w:rsidRPr="00214F3B">
        <w:rPr>
          <w:rFonts w:ascii="Times New Roman" w:hAnsi="Times New Roman" w:cs="Times New Roman"/>
          <w:noProof/>
          <w:sz w:val="24"/>
          <w:szCs w:val="24"/>
        </w:rPr>
        <w:t>.</w:t>
      </w:r>
      <w:r>
        <w:rPr>
          <w:rFonts w:ascii="Times New Roman" w:hAnsi="Times New Roman" w:cs="Times New Roman"/>
          <w:noProof/>
          <w:sz w:val="24"/>
          <w:szCs w:val="24"/>
        </w:rPr>
        <w:t xml:space="preserve"> 2009. </w:t>
      </w:r>
      <w:r w:rsidRPr="00214F3B">
        <w:rPr>
          <w:rFonts w:ascii="Times New Roman" w:hAnsi="Times New Roman" w:cs="Times New Roman"/>
          <w:noProof/>
          <w:sz w:val="24"/>
          <w:szCs w:val="24"/>
        </w:rPr>
        <w:t xml:space="preserve">“Analisis Peranan Koperasi Simpan Pinjam atau Usaha Simpan Pinjam Dalam Upaya Pengembangan UMKM di Kabupaten Malang.” </w:t>
      </w:r>
      <w:r w:rsidRPr="00214F3B">
        <w:rPr>
          <w:rFonts w:ascii="Times New Roman" w:hAnsi="Times New Roman" w:cs="Times New Roman"/>
          <w:i/>
          <w:iCs/>
          <w:noProof/>
          <w:sz w:val="24"/>
          <w:szCs w:val="24"/>
        </w:rPr>
        <w:t>Jurnal Ekonomi Modernisasi</w:t>
      </w:r>
      <w:r>
        <w:rPr>
          <w:rFonts w:ascii="Times New Roman" w:hAnsi="Times New Roman" w:cs="Times New Roman"/>
          <w:noProof/>
          <w:sz w:val="24"/>
          <w:szCs w:val="24"/>
        </w:rPr>
        <w:t>, Vol. 5 No. 3. Malang : Universitas Kanjuruhan Malang.</w:t>
      </w:r>
    </w:p>
    <w:p w:rsidR="00B52679" w:rsidRP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lastRenderedPageBreak/>
        <w:t xml:space="preserve">Fatma Paparang. 2014. “Implementasi Jaminan Fidusia Dalam Pemberian Kredit di Indonesia”. </w:t>
      </w:r>
      <w:r>
        <w:rPr>
          <w:rFonts w:ascii="Times New Roman" w:hAnsi="Times New Roman" w:cs="Times New Roman"/>
          <w:i/>
          <w:sz w:val="24"/>
        </w:rPr>
        <w:t>Jurnal LPPM Bidang EkoSosBudKum</w:t>
      </w:r>
      <w:r>
        <w:rPr>
          <w:rFonts w:ascii="Times New Roman" w:hAnsi="Times New Roman" w:cs="Times New Roman"/>
          <w:sz w:val="24"/>
        </w:rPr>
        <w:t>, Vol. 1 No.2. Manado: Universitas Sam Ratulangi.</w:t>
      </w:r>
    </w:p>
    <w:p w:rsidR="00DC25A6" w:rsidRDefault="00DC25A6" w:rsidP="00B52679">
      <w:pPr>
        <w:pStyle w:val="Bibliography"/>
        <w:spacing w:line="36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Handri</w:t>
      </w:r>
      <w:r>
        <w:rPr>
          <w:rFonts w:ascii="Times New Roman" w:hAnsi="Times New Roman" w:cs="Times New Roman"/>
          <w:noProof/>
          <w:sz w:val="24"/>
          <w:szCs w:val="24"/>
        </w:rPr>
        <w:t xml:space="preserve"> Raharjo</w:t>
      </w:r>
      <w:r w:rsidRPr="00214F3B">
        <w:rPr>
          <w:rFonts w:ascii="Times New Roman" w:hAnsi="Times New Roman" w:cs="Times New Roman"/>
          <w:noProof/>
          <w:sz w:val="24"/>
          <w:szCs w:val="24"/>
        </w:rPr>
        <w:t xml:space="preserve">. 2009. </w:t>
      </w:r>
      <w:r w:rsidRPr="00214F3B">
        <w:rPr>
          <w:rFonts w:ascii="Times New Roman" w:hAnsi="Times New Roman" w:cs="Times New Roman"/>
          <w:i/>
          <w:iCs/>
          <w:noProof/>
          <w:sz w:val="24"/>
          <w:szCs w:val="24"/>
        </w:rPr>
        <w:t>Hukum Perjanjian Di Indonesia.</w:t>
      </w:r>
      <w:r w:rsidRPr="00214F3B">
        <w:rPr>
          <w:rFonts w:ascii="Times New Roman" w:hAnsi="Times New Roman" w:cs="Times New Roman"/>
          <w:noProof/>
          <w:sz w:val="24"/>
          <w:szCs w:val="24"/>
        </w:rPr>
        <w:t xml:space="preserve"> Yogyakarta: Pustaka Yustitia</w:t>
      </w:r>
      <w:r>
        <w:rPr>
          <w:rFonts w:ascii="Times New Roman" w:hAnsi="Times New Roman" w:cs="Times New Roman"/>
          <w:noProof/>
          <w:sz w:val="24"/>
          <w:szCs w:val="24"/>
        </w:rPr>
        <w:t>.</w:t>
      </w:r>
    </w:p>
    <w:p w:rsidR="001261FE" w:rsidRPr="00595D24" w:rsidRDefault="001261FE"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Ikhsan Rochmadi. 2011. “Analisis Dampak Perdagangan Bebas dan Global Pada Bergesernya Nilai Budaya, Prinsip, dan Tujuan Koperasi”. </w:t>
      </w:r>
      <w:r>
        <w:rPr>
          <w:rFonts w:ascii="Times New Roman" w:hAnsi="Times New Roman" w:cs="Times New Roman"/>
          <w:i/>
          <w:sz w:val="24"/>
        </w:rPr>
        <w:t>Jurnal Ekonomika</w:t>
      </w:r>
      <w:r>
        <w:rPr>
          <w:rFonts w:ascii="Times New Roman" w:hAnsi="Times New Roman" w:cs="Times New Roman"/>
          <w:sz w:val="24"/>
        </w:rPr>
        <w:t>, Vol. 6 No. 1. Yogyakarta: Universitas Negeri Yogyakarta.</w:t>
      </w:r>
    </w:p>
    <w:p w:rsidR="001261FE" w:rsidRPr="00FA789C" w:rsidRDefault="001261FE" w:rsidP="00B52679">
      <w:pPr>
        <w:pStyle w:val="Bibliography"/>
        <w:spacing w:line="24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Jatmiko</w:t>
      </w:r>
      <w:r>
        <w:rPr>
          <w:rFonts w:ascii="Times New Roman" w:hAnsi="Times New Roman" w:cs="Times New Roman"/>
          <w:noProof/>
          <w:sz w:val="24"/>
          <w:szCs w:val="24"/>
        </w:rPr>
        <w:t xml:space="preserve"> Winarno</w:t>
      </w:r>
      <w:r w:rsidRPr="00214F3B">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2000. </w:t>
      </w:r>
      <w:r w:rsidRPr="00214F3B">
        <w:rPr>
          <w:rFonts w:ascii="Times New Roman" w:hAnsi="Times New Roman" w:cs="Times New Roman"/>
          <w:noProof/>
          <w:sz w:val="24"/>
          <w:szCs w:val="24"/>
        </w:rPr>
        <w:t xml:space="preserve">“Perlindungan Hukum Bagi Kreditur Pada Perjanjian Jaminan Fidusia.” </w:t>
      </w:r>
      <w:r w:rsidRPr="00214F3B">
        <w:rPr>
          <w:rFonts w:ascii="Times New Roman" w:hAnsi="Times New Roman" w:cs="Times New Roman"/>
          <w:i/>
          <w:iCs/>
          <w:noProof/>
          <w:sz w:val="24"/>
          <w:szCs w:val="24"/>
        </w:rPr>
        <w:t>Jurnal Independent Fakultas Hukum Universitas Islam Lamongan</w:t>
      </w:r>
      <w:r>
        <w:rPr>
          <w:rFonts w:ascii="Times New Roman" w:hAnsi="Times New Roman" w:cs="Times New Roman"/>
          <w:noProof/>
          <w:sz w:val="24"/>
          <w:szCs w:val="24"/>
        </w:rPr>
        <w:t>. Lamongan : Universitas Islam Lamongan.</w:t>
      </w:r>
    </w:p>
    <w:p w:rsidR="001261FE" w:rsidRPr="001261FE" w:rsidRDefault="001261FE" w:rsidP="00B52679">
      <w:pPr>
        <w:pStyle w:val="Bibliography"/>
        <w:spacing w:line="24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Lathifah</w:t>
      </w:r>
      <w:r>
        <w:rPr>
          <w:rFonts w:ascii="Times New Roman" w:hAnsi="Times New Roman" w:cs="Times New Roman"/>
          <w:noProof/>
          <w:sz w:val="24"/>
          <w:szCs w:val="24"/>
        </w:rPr>
        <w:t xml:space="preserve"> Hanim</w:t>
      </w:r>
      <w:r w:rsidRPr="00214F3B">
        <w:rPr>
          <w:rFonts w:ascii="Times New Roman" w:hAnsi="Times New Roman" w:cs="Times New Roman"/>
          <w:noProof/>
          <w:sz w:val="24"/>
          <w:szCs w:val="24"/>
        </w:rPr>
        <w:t>.</w:t>
      </w:r>
      <w:r>
        <w:rPr>
          <w:rFonts w:ascii="Times New Roman" w:hAnsi="Times New Roman" w:cs="Times New Roman"/>
          <w:noProof/>
          <w:sz w:val="24"/>
          <w:szCs w:val="24"/>
        </w:rPr>
        <w:t xml:space="preserve"> 2011. </w:t>
      </w:r>
      <w:r w:rsidRPr="00214F3B">
        <w:rPr>
          <w:rFonts w:ascii="Times New Roman" w:hAnsi="Times New Roman" w:cs="Times New Roman"/>
          <w:noProof/>
          <w:sz w:val="24"/>
          <w:szCs w:val="24"/>
        </w:rPr>
        <w:t xml:space="preserve">“Pengaruh Perkembangan Teknologi Informasi Terhadap Keabsahan Perjanjian dalam Perdagangan Secara Elektronik (E-Commerce) di Era Globalisasi.” </w:t>
      </w:r>
      <w:r w:rsidRPr="00214F3B">
        <w:rPr>
          <w:rFonts w:ascii="Times New Roman" w:hAnsi="Times New Roman" w:cs="Times New Roman"/>
          <w:i/>
          <w:iCs/>
          <w:noProof/>
          <w:sz w:val="24"/>
          <w:szCs w:val="24"/>
        </w:rPr>
        <w:t>Jurnal Dinamika Hukum</w:t>
      </w:r>
      <w:r>
        <w:rPr>
          <w:rFonts w:ascii="Times New Roman" w:hAnsi="Times New Roman" w:cs="Times New Roman"/>
          <w:noProof/>
          <w:sz w:val="24"/>
          <w:szCs w:val="24"/>
        </w:rPr>
        <w:t>, Vol. 11. Purwokerto : UNSOED.</w:t>
      </w:r>
    </w:p>
    <w:p w:rsidR="00DC090D" w:rsidRDefault="00DC090D" w:rsidP="00B52679">
      <w:pPr>
        <w:tabs>
          <w:tab w:val="left" w:pos="851"/>
        </w:tabs>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Mashari. 2010. “Mekanisme Penyelesaian Sengketa Hubungan Industrial Secara Win-win Solution”. </w:t>
      </w:r>
      <w:r>
        <w:rPr>
          <w:rFonts w:ascii="Times New Roman" w:hAnsi="Times New Roman" w:cs="Times New Roman"/>
          <w:i/>
          <w:sz w:val="24"/>
        </w:rPr>
        <w:t>Hukum dan Dinamika Masyarakat</w:t>
      </w:r>
      <w:r>
        <w:rPr>
          <w:rFonts w:ascii="Times New Roman" w:hAnsi="Times New Roman" w:cs="Times New Roman"/>
          <w:sz w:val="24"/>
        </w:rPr>
        <w:t xml:space="preserve">, Vol. 7 No. 2. Semarang : Universitas 17 Agustus 1945. </w:t>
      </w:r>
    </w:p>
    <w:p w:rsidR="00B52679" w:rsidRP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Muhammad Hilmi Akhsin. 2017. “Akibat Hukum Jaminan Fidusia Yang Tidak Didaftarkan Menurut Undang-Undang Nomor 42 Tahun 1999”. </w:t>
      </w:r>
      <w:r>
        <w:rPr>
          <w:rFonts w:ascii="Times New Roman" w:hAnsi="Times New Roman" w:cs="Times New Roman"/>
          <w:i/>
          <w:sz w:val="24"/>
        </w:rPr>
        <w:t>Jurnal Akta</w:t>
      </w:r>
      <w:r>
        <w:rPr>
          <w:rFonts w:ascii="Times New Roman" w:hAnsi="Times New Roman" w:cs="Times New Roman"/>
          <w:sz w:val="24"/>
        </w:rPr>
        <w:t>, Vol. 4 No. 3. Semarang: Universitas Islam Sultan Agung.</w:t>
      </w:r>
    </w:p>
    <w:p w:rsidR="00DC25A6" w:rsidRDefault="00DC25A6" w:rsidP="00B52679">
      <w:pPr>
        <w:pStyle w:val="Bibliography"/>
        <w:spacing w:line="36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Munir</w:t>
      </w:r>
      <w:r>
        <w:rPr>
          <w:rFonts w:ascii="Times New Roman" w:hAnsi="Times New Roman" w:cs="Times New Roman"/>
          <w:noProof/>
          <w:sz w:val="24"/>
          <w:szCs w:val="24"/>
        </w:rPr>
        <w:t xml:space="preserve"> Fuady</w:t>
      </w:r>
      <w:r w:rsidRPr="00214F3B">
        <w:rPr>
          <w:rFonts w:ascii="Times New Roman" w:hAnsi="Times New Roman" w:cs="Times New Roman"/>
          <w:noProof/>
          <w:sz w:val="24"/>
          <w:szCs w:val="24"/>
        </w:rPr>
        <w:t xml:space="preserve">. 2013. </w:t>
      </w:r>
      <w:r w:rsidRPr="00214F3B">
        <w:rPr>
          <w:rFonts w:ascii="Times New Roman" w:hAnsi="Times New Roman" w:cs="Times New Roman"/>
          <w:i/>
          <w:iCs/>
          <w:noProof/>
          <w:sz w:val="24"/>
          <w:szCs w:val="24"/>
        </w:rPr>
        <w:t>Hukum Jaminan Utang.</w:t>
      </w:r>
      <w:r w:rsidRPr="00214F3B">
        <w:rPr>
          <w:rFonts w:ascii="Times New Roman" w:hAnsi="Times New Roman" w:cs="Times New Roman"/>
          <w:noProof/>
          <w:sz w:val="24"/>
          <w:szCs w:val="24"/>
        </w:rPr>
        <w:t xml:space="preserve"> Yogyakarta: Erlangga</w:t>
      </w:r>
      <w:r>
        <w:rPr>
          <w:rFonts w:ascii="Times New Roman" w:hAnsi="Times New Roman" w:cs="Times New Roman"/>
          <w:noProof/>
          <w:sz w:val="24"/>
          <w:szCs w:val="24"/>
        </w:rPr>
        <w:t>.</w:t>
      </w:r>
    </w:p>
    <w:p w:rsidR="001261FE" w:rsidRDefault="001261FE"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Nur Adi Kumaladewi. 2015. “Eksekusi Kendaraan Bermotor Sebagai Jaminan Fidusia Yang Berada Pada Pihak Ketiga”. </w:t>
      </w:r>
      <w:r>
        <w:rPr>
          <w:rFonts w:ascii="Times New Roman" w:hAnsi="Times New Roman" w:cs="Times New Roman"/>
          <w:i/>
          <w:sz w:val="24"/>
        </w:rPr>
        <w:t>Jurnal Rapertorium</w:t>
      </w:r>
      <w:r>
        <w:rPr>
          <w:rFonts w:ascii="Times New Roman" w:hAnsi="Times New Roman" w:cs="Times New Roman"/>
          <w:sz w:val="24"/>
        </w:rPr>
        <w:t>, Vol. II No. 2. Surakarta: Universitas Sebelas Maret.</w:t>
      </w:r>
    </w:p>
    <w:p w:rsidR="001261FE" w:rsidRPr="001261FE" w:rsidRDefault="001261FE"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Retno Puspo Dewi. 2017. “Kekuatan Eksekutorial Sertifikat Jaminan Fidusia Berdasar Undang-Undang Nomor 42 Tahun 1999 Tentang Jaminan Fidusia”. </w:t>
      </w:r>
      <w:r>
        <w:rPr>
          <w:rFonts w:ascii="Times New Roman" w:hAnsi="Times New Roman" w:cs="Times New Roman"/>
          <w:i/>
          <w:sz w:val="24"/>
        </w:rPr>
        <w:t>Jurnal Rapertoriun</w:t>
      </w:r>
      <w:r>
        <w:rPr>
          <w:rFonts w:ascii="Times New Roman" w:hAnsi="Times New Roman" w:cs="Times New Roman"/>
          <w:sz w:val="24"/>
        </w:rPr>
        <w:t>, Vol. IV No. 1. Surakarta: Universitas Sebelas Maret.</w:t>
      </w:r>
    </w:p>
    <w:p w:rsidR="00B52679" w:rsidRDefault="00B52679" w:rsidP="00B52679">
      <w:pPr>
        <w:pStyle w:val="Bibliography"/>
        <w:spacing w:line="240" w:lineRule="auto"/>
        <w:ind w:left="1134" w:hanging="720"/>
        <w:jc w:val="both"/>
        <w:rPr>
          <w:rFonts w:ascii="Times New Roman" w:hAnsi="Times New Roman" w:cs="Times New Roman"/>
          <w:noProof/>
          <w:sz w:val="24"/>
          <w:szCs w:val="24"/>
        </w:rPr>
      </w:pPr>
      <w:r w:rsidRPr="00214F3B">
        <w:rPr>
          <w:rFonts w:ascii="Times New Roman" w:hAnsi="Times New Roman" w:cs="Times New Roman"/>
          <w:noProof/>
          <w:sz w:val="24"/>
          <w:szCs w:val="24"/>
        </w:rPr>
        <w:t>Saduldyn</w:t>
      </w:r>
      <w:r>
        <w:rPr>
          <w:rFonts w:ascii="Times New Roman" w:hAnsi="Times New Roman" w:cs="Times New Roman"/>
          <w:noProof/>
          <w:sz w:val="24"/>
          <w:szCs w:val="24"/>
        </w:rPr>
        <w:t xml:space="preserve"> Pato. 2013. </w:t>
      </w:r>
      <w:r w:rsidRPr="00214F3B">
        <w:rPr>
          <w:rFonts w:ascii="Times New Roman" w:hAnsi="Times New Roman" w:cs="Times New Roman"/>
          <w:noProof/>
          <w:sz w:val="24"/>
          <w:szCs w:val="24"/>
        </w:rPr>
        <w:t xml:space="preserve">“Analisis Pemberian Kredit Mikro Pada Bank Syariah Mandiri Cabang Manado.” </w:t>
      </w:r>
      <w:r w:rsidRPr="00214F3B">
        <w:rPr>
          <w:rFonts w:ascii="Times New Roman" w:hAnsi="Times New Roman" w:cs="Times New Roman"/>
          <w:i/>
          <w:iCs/>
          <w:noProof/>
          <w:sz w:val="24"/>
          <w:szCs w:val="24"/>
        </w:rPr>
        <w:t>Jurnal EMBA</w:t>
      </w:r>
      <w:r>
        <w:rPr>
          <w:rFonts w:ascii="Times New Roman" w:hAnsi="Times New Roman" w:cs="Times New Roman"/>
          <w:noProof/>
          <w:sz w:val="24"/>
          <w:szCs w:val="24"/>
        </w:rPr>
        <w:t>. Manado : Universitas Sam Ratulangi.</w:t>
      </w:r>
    </w:p>
    <w:p w:rsidR="00B52679" w:rsidRP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Shavira Ramadhanneswari, dkk. 2017. “Penarikan Kendaraan Bermotor Oleh Perusahaan Pembiayaan Terhadap Debitur Yang Mengalami Kredit Macet (Wanprestasi) Dengan Jaminan Fidusia Ditinjau Dari Aspek Yuridis”. </w:t>
      </w:r>
      <w:r>
        <w:rPr>
          <w:rFonts w:ascii="Times New Roman" w:hAnsi="Times New Roman" w:cs="Times New Roman"/>
          <w:i/>
          <w:sz w:val="24"/>
        </w:rPr>
        <w:t>Diponegoro Law Jurnal</w:t>
      </w:r>
      <w:r>
        <w:rPr>
          <w:rFonts w:ascii="Times New Roman" w:hAnsi="Times New Roman" w:cs="Times New Roman"/>
          <w:sz w:val="24"/>
        </w:rPr>
        <w:t>, Vol. 6 No.2. Semarang: Universitas Diponegoro.</w:t>
      </w:r>
    </w:p>
    <w:p w:rsidR="00DC090D" w:rsidRPr="00DC090D" w:rsidRDefault="00DC090D" w:rsidP="00B52679">
      <w:pPr>
        <w:spacing w:line="360" w:lineRule="auto"/>
        <w:ind w:left="1134" w:hanging="709"/>
        <w:jc w:val="both"/>
        <w:rPr>
          <w:rFonts w:ascii="Times New Roman" w:hAnsi="Times New Roman" w:cs="Times New Roman"/>
          <w:sz w:val="24"/>
          <w:szCs w:val="24"/>
        </w:rPr>
      </w:pPr>
      <w:r>
        <w:rPr>
          <w:rFonts w:ascii="Times New Roman" w:hAnsi="Times New Roman" w:cs="Times New Roman"/>
          <w:sz w:val="24"/>
          <w:szCs w:val="24"/>
        </w:rPr>
        <w:t xml:space="preserve">Soerjono Soekanto. 2010. </w:t>
      </w:r>
      <w:r>
        <w:rPr>
          <w:rFonts w:ascii="Times New Roman" w:hAnsi="Times New Roman" w:cs="Times New Roman"/>
          <w:i/>
          <w:sz w:val="24"/>
          <w:szCs w:val="24"/>
        </w:rPr>
        <w:t>Pengantar Penelitian Hukum</w:t>
      </w:r>
      <w:r>
        <w:rPr>
          <w:rFonts w:ascii="Times New Roman" w:hAnsi="Times New Roman" w:cs="Times New Roman"/>
          <w:sz w:val="24"/>
          <w:szCs w:val="24"/>
        </w:rPr>
        <w:t>. Jakarta : Universitas Indonesia.</w:t>
      </w:r>
    </w:p>
    <w:p w:rsid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Sri Ahyani. 2014. “Perlindungan Hukum Bagi Kreditur Melalui Perjanjian Jaminan Fidusia”. </w:t>
      </w:r>
      <w:r>
        <w:rPr>
          <w:rFonts w:ascii="Times New Roman" w:hAnsi="Times New Roman" w:cs="Times New Roman"/>
          <w:i/>
          <w:sz w:val="24"/>
        </w:rPr>
        <w:t>Jurnal Wawasan Jurnal Wawasan Yuridika</w:t>
      </w:r>
      <w:r>
        <w:rPr>
          <w:rFonts w:ascii="Times New Roman" w:hAnsi="Times New Roman" w:cs="Times New Roman"/>
          <w:sz w:val="24"/>
        </w:rPr>
        <w:t>, Vol. 24 No. 1. Bandung: Sekolah Tinggi Hukum Bandung.</w:t>
      </w:r>
    </w:p>
    <w:p w:rsid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Sudiman Sidabukke. 2008. “Kredit Macet dan Novasi Subjektif Pasif”. </w:t>
      </w:r>
      <w:r>
        <w:rPr>
          <w:rFonts w:ascii="Times New Roman" w:hAnsi="Times New Roman" w:cs="Times New Roman"/>
          <w:i/>
          <w:sz w:val="24"/>
        </w:rPr>
        <w:t>Jurnal Yustika</w:t>
      </w:r>
      <w:r>
        <w:rPr>
          <w:rFonts w:ascii="Times New Roman" w:hAnsi="Times New Roman" w:cs="Times New Roman"/>
          <w:sz w:val="24"/>
        </w:rPr>
        <w:t>, Vol. 11 No. 1. Surabaya: Universitas Surabaya.</w:t>
      </w:r>
    </w:p>
    <w:p w:rsidR="00B52679" w:rsidRDefault="00B52679"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lastRenderedPageBreak/>
        <w:t xml:space="preserve">Sugiharsono. 2009. “Sistem Ekonomi Koperasi Sebagai Solusi Masalah Perekonomian Indonesia. Mungkinkah?”. </w:t>
      </w:r>
      <w:r>
        <w:rPr>
          <w:rFonts w:ascii="Times New Roman" w:hAnsi="Times New Roman" w:cs="Times New Roman"/>
          <w:i/>
          <w:sz w:val="24"/>
        </w:rPr>
        <w:t>Jurnal Ekonomi dan Pendidikan</w:t>
      </w:r>
      <w:r>
        <w:rPr>
          <w:rFonts w:ascii="Times New Roman" w:hAnsi="Times New Roman" w:cs="Times New Roman"/>
          <w:sz w:val="24"/>
        </w:rPr>
        <w:t>, Vol. 6 No.1. Yogyakarta: Universitas Negeri Yogyakarta.</w:t>
      </w:r>
    </w:p>
    <w:p w:rsidR="00C94F27" w:rsidRPr="00B52679" w:rsidRDefault="001261FE" w:rsidP="00B52679">
      <w:pPr>
        <w:spacing w:line="240" w:lineRule="auto"/>
        <w:ind w:left="1134" w:hanging="709"/>
        <w:jc w:val="both"/>
        <w:rPr>
          <w:rFonts w:ascii="Times New Roman" w:hAnsi="Times New Roman" w:cs="Times New Roman"/>
          <w:sz w:val="24"/>
        </w:rPr>
      </w:pPr>
      <w:r>
        <w:rPr>
          <w:rFonts w:ascii="Times New Roman" w:hAnsi="Times New Roman" w:cs="Times New Roman"/>
          <w:sz w:val="24"/>
        </w:rPr>
        <w:t xml:space="preserve">Susanto. 2017. “Perjanjian Kredit yang Dibuat Secara Baku Pada Kredit Perbankan dan Prmasalahan Pilihan Domisili Hukum Penyelesaian Sengketa (Studi Kasus Pada Bank Sumatera Utara Cabang Jakarta Pusat)”. </w:t>
      </w:r>
      <w:r>
        <w:rPr>
          <w:rFonts w:ascii="Times New Roman" w:hAnsi="Times New Roman" w:cs="Times New Roman"/>
          <w:i/>
          <w:sz w:val="24"/>
        </w:rPr>
        <w:t>Jurnal Surya Kencana Dua Dinamika Masalah Hukum dan Keadilan</w:t>
      </w:r>
      <w:r>
        <w:rPr>
          <w:rFonts w:ascii="Times New Roman" w:hAnsi="Times New Roman" w:cs="Times New Roman"/>
          <w:sz w:val="24"/>
        </w:rPr>
        <w:t>, Vol. 4 No.1. Jakarta: Universitas Jayabaya.</w:t>
      </w:r>
    </w:p>
    <w:p w:rsidR="00C94F27" w:rsidRPr="009A0D6B" w:rsidRDefault="00C94F27" w:rsidP="00C94F27">
      <w:pPr>
        <w:spacing w:line="240" w:lineRule="auto"/>
        <w:jc w:val="center"/>
        <w:rPr>
          <w:rFonts w:ascii="Times New Roman" w:hAnsi="Times New Roman" w:cs="Times New Roman"/>
          <w:sz w:val="24"/>
          <w:szCs w:val="24"/>
        </w:rPr>
      </w:pPr>
    </w:p>
    <w:p w:rsidR="009A0D6B" w:rsidRPr="009A0D6B" w:rsidRDefault="009A0D6B" w:rsidP="009A0D6B">
      <w:pPr>
        <w:jc w:val="center"/>
        <w:rPr>
          <w:rFonts w:ascii="Times New Roman" w:hAnsi="Times New Roman" w:cs="Times New Roman"/>
          <w:b/>
          <w:sz w:val="24"/>
          <w:szCs w:val="24"/>
        </w:rPr>
      </w:pPr>
    </w:p>
    <w:sectPr w:rsidR="009A0D6B" w:rsidRPr="009A0D6B" w:rsidSect="00363B58">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A8D" w:rsidRDefault="00137A8D" w:rsidP="00B52679">
      <w:pPr>
        <w:spacing w:after="0" w:line="240" w:lineRule="auto"/>
      </w:pPr>
      <w:r>
        <w:separator/>
      </w:r>
    </w:p>
  </w:endnote>
  <w:endnote w:type="continuationSeparator" w:id="0">
    <w:p w:rsidR="00137A8D" w:rsidRDefault="00137A8D" w:rsidP="00B52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253260"/>
      <w:docPartObj>
        <w:docPartGallery w:val="Page Numbers (Bottom of Page)"/>
        <w:docPartUnique/>
      </w:docPartObj>
    </w:sdtPr>
    <w:sdtEndPr>
      <w:rPr>
        <w:noProof/>
      </w:rPr>
    </w:sdtEndPr>
    <w:sdtContent>
      <w:p w:rsidR="00B52679" w:rsidRDefault="00B52679">
        <w:pPr>
          <w:pStyle w:val="Footer"/>
          <w:jc w:val="right"/>
        </w:pPr>
        <w:r>
          <w:fldChar w:fldCharType="begin"/>
        </w:r>
        <w:r>
          <w:instrText xml:space="preserve"> PAGE   \* MERGEFORMAT </w:instrText>
        </w:r>
        <w:r>
          <w:fldChar w:fldCharType="separate"/>
        </w:r>
        <w:r w:rsidR="00F0454E">
          <w:rPr>
            <w:noProof/>
          </w:rPr>
          <w:t>6</w:t>
        </w:r>
        <w:r>
          <w:rPr>
            <w:noProof/>
          </w:rPr>
          <w:fldChar w:fldCharType="end"/>
        </w:r>
      </w:p>
    </w:sdtContent>
  </w:sdt>
  <w:p w:rsidR="00B52679" w:rsidRDefault="00B52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A8D" w:rsidRDefault="00137A8D" w:rsidP="00B52679">
      <w:pPr>
        <w:spacing w:after="0" w:line="240" w:lineRule="auto"/>
      </w:pPr>
      <w:r>
        <w:separator/>
      </w:r>
    </w:p>
  </w:footnote>
  <w:footnote w:type="continuationSeparator" w:id="0">
    <w:p w:rsidR="00137A8D" w:rsidRDefault="00137A8D" w:rsidP="00B52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61E"/>
    <w:multiLevelType w:val="hybridMultilevel"/>
    <w:tmpl w:val="BD8661E6"/>
    <w:lvl w:ilvl="0" w:tplc="E9F02C32">
      <w:start w:val="1"/>
      <w:numFmt w:val="lowerLetter"/>
      <w:lvlText w:val="%1."/>
      <w:lvlJc w:val="left"/>
      <w:pPr>
        <w:ind w:left="2072" w:hanging="360"/>
      </w:pPr>
      <w:rPr>
        <w:rFonts w:hint="default"/>
      </w:rPr>
    </w:lvl>
    <w:lvl w:ilvl="1" w:tplc="04210019" w:tentative="1">
      <w:start w:val="1"/>
      <w:numFmt w:val="lowerLetter"/>
      <w:lvlText w:val="%2."/>
      <w:lvlJc w:val="left"/>
      <w:pPr>
        <w:ind w:left="2792" w:hanging="360"/>
      </w:pPr>
    </w:lvl>
    <w:lvl w:ilvl="2" w:tplc="0421001B" w:tentative="1">
      <w:start w:val="1"/>
      <w:numFmt w:val="lowerRoman"/>
      <w:lvlText w:val="%3."/>
      <w:lvlJc w:val="right"/>
      <w:pPr>
        <w:ind w:left="3512" w:hanging="180"/>
      </w:pPr>
    </w:lvl>
    <w:lvl w:ilvl="3" w:tplc="0421000F" w:tentative="1">
      <w:start w:val="1"/>
      <w:numFmt w:val="decimal"/>
      <w:lvlText w:val="%4."/>
      <w:lvlJc w:val="left"/>
      <w:pPr>
        <w:ind w:left="4232" w:hanging="360"/>
      </w:pPr>
    </w:lvl>
    <w:lvl w:ilvl="4" w:tplc="04210019" w:tentative="1">
      <w:start w:val="1"/>
      <w:numFmt w:val="lowerLetter"/>
      <w:lvlText w:val="%5."/>
      <w:lvlJc w:val="left"/>
      <w:pPr>
        <w:ind w:left="4952" w:hanging="360"/>
      </w:pPr>
    </w:lvl>
    <w:lvl w:ilvl="5" w:tplc="0421001B" w:tentative="1">
      <w:start w:val="1"/>
      <w:numFmt w:val="lowerRoman"/>
      <w:lvlText w:val="%6."/>
      <w:lvlJc w:val="right"/>
      <w:pPr>
        <w:ind w:left="5672" w:hanging="180"/>
      </w:pPr>
    </w:lvl>
    <w:lvl w:ilvl="6" w:tplc="0421000F" w:tentative="1">
      <w:start w:val="1"/>
      <w:numFmt w:val="decimal"/>
      <w:lvlText w:val="%7."/>
      <w:lvlJc w:val="left"/>
      <w:pPr>
        <w:ind w:left="6392" w:hanging="360"/>
      </w:pPr>
    </w:lvl>
    <w:lvl w:ilvl="7" w:tplc="04210019" w:tentative="1">
      <w:start w:val="1"/>
      <w:numFmt w:val="lowerLetter"/>
      <w:lvlText w:val="%8."/>
      <w:lvlJc w:val="left"/>
      <w:pPr>
        <w:ind w:left="7112" w:hanging="360"/>
      </w:pPr>
    </w:lvl>
    <w:lvl w:ilvl="8" w:tplc="0421001B" w:tentative="1">
      <w:start w:val="1"/>
      <w:numFmt w:val="lowerRoman"/>
      <w:lvlText w:val="%9."/>
      <w:lvlJc w:val="right"/>
      <w:pPr>
        <w:ind w:left="7832" w:hanging="180"/>
      </w:pPr>
    </w:lvl>
  </w:abstractNum>
  <w:abstractNum w:abstractNumId="1">
    <w:nsid w:val="0D3B4AC6"/>
    <w:multiLevelType w:val="hybridMultilevel"/>
    <w:tmpl w:val="275C5190"/>
    <w:lvl w:ilvl="0" w:tplc="B0F8A0B0">
      <w:start w:val="1"/>
      <w:numFmt w:val="decimal"/>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2">
    <w:nsid w:val="16EC0C47"/>
    <w:multiLevelType w:val="hybridMultilevel"/>
    <w:tmpl w:val="6AA81A44"/>
    <w:lvl w:ilvl="0" w:tplc="5F3CFB1E">
      <w:start w:val="1"/>
      <w:numFmt w:val="lowerLetter"/>
      <w:lvlText w:val="%1)"/>
      <w:lvlJc w:val="left"/>
      <w:pPr>
        <w:ind w:left="1712" w:hanging="360"/>
      </w:pPr>
      <w:rPr>
        <w:rFonts w:hint="default"/>
      </w:r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3">
    <w:nsid w:val="211025A2"/>
    <w:multiLevelType w:val="hybridMultilevel"/>
    <w:tmpl w:val="519C3C64"/>
    <w:lvl w:ilvl="0" w:tplc="3DB00D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80879F0"/>
    <w:multiLevelType w:val="hybridMultilevel"/>
    <w:tmpl w:val="57E687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BC1E2F"/>
    <w:multiLevelType w:val="hybridMultilevel"/>
    <w:tmpl w:val="F302494E"/>
    <w:lvl w:ilvl="0" w:tplc="8FC4C2A6">
      <w:start w:val="1"/>
      <w:numFmt w:val="decimal"/>
      <w:lvlText w:val="%1."/>
      <w:lvlJc w:val="left"/>
      <w:pPr>
        <w:ind w:left="1712" w:hanging="360"/>
      </w:pPr>
      <w:rPr>
        <w:rFonts w:hint="default"/>
      </w:r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6">
    <w:nsid w:val="31A413D6"/>
    <w:multiLevelType w:val="hybridMultilevel"/>
    <w:tmpl w:val="9CAE28AE"/>
    <w:lvl w:ilvl="0" w:tplc="04210019">
      <w:start w:val="1"/>
      <w:numFmt w:val="lowerLetter"/>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7">
    <w:nsid w:val="6E422273"/>
    <w:multiLevelType w:val="hybridMultilevel"/>
    <w:tmpl w:val="7326D65C"/>
    <w:lvl w:ilvl="0" w:tplc="4B2A21A8">
      <w:start w:val="1"/>
      <w:numFmt w:val="decimal"/>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8">
    <w:nsid w:val="743745FE"/>
    <w:multiLevelType w:val="hybridMultilevel"/>
    <w:tmpl w:val="4BA20610"/>
    <w:lvl w:ilvl="0" w:tplc="31C6D3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75411F39"/>
    <w:multiLevelType w:val="hybridMultilevel"/>
    <w:tmpl w:val="685A9E40"/>
    <w:lvl w:ilvl="0" w:tplc="3FBA27FC">
      <w:start w:val="1"/>
      <w:numFmt w:val="decimal"/>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abstractNum w:abstractNumId="10">
    <w:nsid w:val="783971B4"/>
    <w:multiLevelType w:val="hybridMultilevel"/>
    <w:tmpl w:val="437A2AD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
    <w:nsid w:val="7C575AE3"/>
    <w:multiLevelType w:val="hybridMultilevel"/>
    <w:tmpl w:val="C2B63B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D34E41"/>
    <w:multiLevelType w:val="hybridMultilevel"/>
    <w:tmpl w:val="26D403AE"/>
    <w:lvl w:ilvl="0" w:tplc="04210019">
      <w:start w:val="1"/>
      <w:numFmt w:val="lowerLetter"/>
      <w:lvlText w:val="%1."/>
      <w:lvlJc w:val="left"/>
      <w:pPr>
        <w:ind w:left="1418" w:hanging="360"/>
      </w:pPr>
    </w:lvl>
    <w:lvl w:ilvl="1" w:tplc="04210019">
      <w:start w:val="1"/>
      <w:numFmt w:val="lowerLetter"/>
      <w:lvlText w:val="%2."/>
      <w:lvlJc w:val="left"/>
      <w:pPr>
        <w:ind w:left="2138" w:hanging="360"/>
      </w:pPr>
    </w:lvl>
    <w:lvl w:ilvl="2" w:tplc="0421001B">
      <w:start w:val="1"/>
      <w:numFmt w:val="lowerRoman"/>
      <w:lvlText w:val="%3."/>
      <w:lvlJc w:val="right"/>
      <w:pPr>
        <w:ind w:left="2858" w:hanging="180"/>
      </w:pPr>
    </w:lvl>
    <w:lvl w:ilvl="3" w:tplc="0421000F">
      <w:start w:val="1"/>
      <w:numFmt w:val="decimal"/>
      <w:lvlText w:val="%4."/>
      <w:lvlJc w:val="left"/>
      <w:pPr>
        <w:ind w:left="3578" w:hanging="360"/>
      </w:pPr>
    </w:lvl>
    <w:lvl w:ilvl="4" w:tplc="04210019">
      <w:start w:val="1"/>
      <w:numFmt w:val="lowerLetter"/>
      <w:lvlText w:val="%5."/>
      <w:lvlJc w:val="left"/>
      <w:pPr>
        <w:ind w:left="4298" w:hanging="360"/>
      </w:pPr>
    </w:lvl>
    <w:lvl w:ilvl="5" w:tplc="0421001B">
      <w:start w:val="1"/>
      <w:numFmt w:val="lowerRoman"/>
      <w:lvlText w:val="%6."/>
      <w:lvlJc w:val="right"/>
      <w:pPr>
        <w:ind w:left="5018" w:hanging="180"/>
      </w:pPr>
    </w:lvl>
    <w:lvl w:ilvl="6" w:tplc="0421000F">
      <w:start w:val="1"/>
      <w:numFmt w:val="decimal"/>
      <w:lvlText w:val="%7."/>
      <w:lvlJc w:val="left"/>
      <w:pPr>
        <w:ind w:left="5738" w:hanging="360"/>
      </w:pPr>
    </w:lvl>
    <w:lvl w:ilvl="7" w:tplc="04210019">
      <w:start w:val="1"/>
      <w:numFmt w:val="lowerLetter"/>
      <w:lvlText w:val="%8."/>
      <w:lvlJc w:val="left"/>
      <w:pPr>
        <w:ind w:left="6458" w:hanging="360"/>
      </w:pPr>
    </w:lvl>
    <w:lvl w:ilvl="8" w:tplc="0421001B">
      <w:start w:val="1"/>
      <w:numFmt w:val="lowerRoman"/>
      <w:lvlText w:val="%9."/>
      <w:lvlJc w:val="right"/>
      <w:pPr>
        <w:ind w:left="7178" w:hanging="180"/>
      </w:p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3"/>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D6B"/>
    <w:rsid w:val="0007078D"/>
    <w:rsid w:val="00077B14"/>
    <w:rsid w:val="001261FE"/>
    <w:rsid w:val="00137A8D"/>
    <w:rsid w:val="00327812"/>
    <w:rsid w:val="00363B58"/>
    <w:rsid w:val="004B4EA8"/>
    <w:rsid w:val="006A6C50"/>
    <w:rsid w:val="007560DA"/>
    <w:rsid w:val="007C77F3"/>
    <w:rsid w:val="009A0D6B"/>
    <w:rsid w:val="009D3C33"/>
    <w:rsid w:val="009D42CE"/>
    <w:rsid w:val="00B52679"/>
    <w:rsid w:val="00B83C1E"/>
    <w:rsid w:val="00C94F27"/>
    <w:rsid w:val="00DA5992"/>
    <w:rsid w:val="00DC090D"/>
    <w:rsid w:val="00DC25A6"/>
    <w:rsid w:val="00EE5197"/>
    <w:rsid w:val="00F045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F27"/>
    <w:rPr>
      <w:color w:val="0000FF" w:themeColor="hyperlink"/>
      <w:u w:val="single"/>
    </w:rPr>
  </w:style>
  <w:style w:type="paragraph" w:styleId="ListParagraph">
    <w:name w:val="List Paragraph"/>
    <w:basedOn w:val="Normal"/>
    <w:uiPriority w:val="34"/>
    <w:qFormat/>
    <w:rsid w:val="00C94F27"/>
    <w:pPr>
      <w:ind w:left="720"/>
      <w:contextualSpacing/>
    </w:pPr>
  </w:style>
  <w:style w:type="table" w:styleId="TableGrid">
    <w:name w:val="Table Grid"/>
    <w:basedOn w:val="TableNormal"/>
    <w:uiPriority w:val="59"/>
    <w:rsid w:val="006A6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C25A6"/>
  </w:style>
  <w:style w:type="paragraph" w:styleId="BalloonText">
    <w:name w:val="Balloon Text"/>
    <w:basedOn w:val="Normal"/>
    <w:link w:val="BalloonTextChar"/>
    <w:uiPriority w:val="99"/>
    <w:semiHidden/>
    <w:unhideWhenUsed/>
    <w:rsid w:val="00DA5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992"/>
    <w:rPr>
      <w:rFonts w:ascii="Tahoma" w:hAnsi="Tahoma" w:cs="Tahoma"/>
      <w:sz w:val="16"/>
      <w:szCs w:val="16"/>
    </w:rPr>
  </w:style>
  <w:style w:type="paragraph" w:styleId="Header">
    <w:name w:val="header"/>
    <w:basedOn w:val="Normal"/>
    <w:link w:val="HeaderChar"/>
    <w:uiPriority w:val="99"/>
    <w:unhideWhenUsed/>
    <w:rsid w:val="00B52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79"/>
  </w:style>
  <w:style w:type="paragraph" w:styleId="Footer">
    <w:name w:val="footer"/>
    <w:basedOn w:val="Normal"/>
    <w:link w:val="FooterChar"/>
    <w:uiPriority w:val="99"/>
    <w:unhideWhenUsed/>
    <w:rsid w:val="00B52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F27"/>
    <w:rPr>
      <w:color w:val="0000FF" w:themeColor="hyperlink"/>
      <w:u w:val="single"/>
    </w:rPr>
  </w:style>
  <w:style w:type="paragraph" w:styleId="ListParagraph">
    <w:name w:val="List Paragraph"/>
    <w:basedOn w:val="Normal"/>
    <w:uiPriority w:val="34"/>
    <w:qFormat/>
    <w:rsid w:val="00C94F27"/>
    <w:pPr>
      <w:ind w:left="720"/>
      <w:contextualSpacing/>
    </w:pPr>
  </w:style>
  <w:style w:type="table" w:styleId="TableGrid">
    <w:name w:val="Table Grid"/>
    <w:basedOn w:val="TableNormal"/>
    <w:uiPriority w:val="59"/>
    <w:rsid w:val="006A6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C25A6"/>
  </w:style>
  <w:style w:type="paragraph" w:styleId="BalloonText">
    <w:name w:val="Balloon Text"/>
    <w:basedOn w:val="Normal"/>
    <w:link w:val="BalloonTextChar"/>
    <w:uiPriority w:val="99"/>
    <w:semiHidden/>
    <w:unhideWhenUsed/>
    <w:rsid w:val="00DA5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992"/>
    <w:rPr>
      <w:rFonts w:ascii="Tahoma" w:hAnsi="Tahoma" w:cs="Tahoma"/>
      <w:sz w:val="16"/>
      <w:szCs w:val="16"/>
    </w:rPr>
  </w:style>
  <w:style w:type="paragraph" w:styleId="Header">
    <w:name w:val="header"/>
    <w:basedOn w:val="Normal"/>
    <w:link w:val="HeaderChar"/>
    <w:uiPriority w:val="99"/>
    <w:unhideWhenUsed/>
    <w:rsid w:val="00B526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679"/>
  </w:style>
  <w:style w:type="paragraph" w:styleId="Footer">
    <w:name w:val="footer"/>
    <w:basedOn w:val="Normal"/>
    <w:link w:val="FooterChar"/>
    <w:uiPriority w:val="99"/>
    <w:unhideWhenUsed/>
    <w:rsid w:val="00B526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6616">
      <w:bodyDiv w:val="1"/>
      <w:marLeft w:val="0"/>
      <w:marRight w:val="0"/>
      <w:marTop w:val="0"/>
      <w:marBottom w:val="0"/>
      <w:divBdr>
        <w:top w:val="none" w:sz="0" w:space="0" w:color="auto"/>
        <w:left w:val="none" w:sz="0" w:space="0" w:color="auto"/>
        <w:bottom w:val="none" w:sz="0" w:space="0" w:color="auto"/>
        <w:right w:val="none" w:sz="0" w:space="0" w:color="auto"/>
      </w:divBdr>
    </w:div>
    <w:div w:id="282156254">
      <w:bodyDiv w:val="1"/>
      <w:marLeft w:val="0"/>
      <w:marRight w:val="0"/>
      <w:marTop w:val="0"/>
      <w:marBottom w:val="0"/>
      <w:divBdr>
        <w:top w:val="none" w:sz="0" w:space="0" w:color="auto"/>
        <w:left w:val="none" w:sz="0" w:space="0" w:color="auto"/>
        <w:bottom w:val="none" w:sz="0" w:space="0" w:color="auto"/>
        <w:right w:val="none" w:sz="0" w:space="0" w:color="auto"/>
      </w:divBdr>
    </w:div>
    <w:div w:id="323432126">
      <w:bodyDiv w:val="1"/>
      <w:marLeft w:val="0"/>
      <w:marRight w:val="0"/>
      <w:marTop w:val="0"/>
      <w:marBottom w:val="0"/>
      <w:divBdr>
        <w:top w:val="none" w:sz="0" w:space="0" w:color="auto"/>
        <w:left w:val="none" w:sz="0" w:space="0" w:color="auto"/>
        <w:bottom w:val="none" w:sz="0" w:space="0" w:color="auto"/>
        <w:right w:val="none" w:sz="0" w:space="0" w:color="auto"/>
      </w:divBdr>
    </w:div>
    <w:div w:id="376970433">
      <w:bodyDiv w:val="1"/>
      <w:marLeft w:val="0"/>
      <w:marRight w:val="0"/>
      <w:marTop w:val="0"/>
      <w:marBottom w:val="0"/>
      <w:divBdr>
        <w:top w:val="none" w:sz="0" w:space="0" w:color="auto"/>
        <w:left w:val="none" w:sz="0" w:space="0" w:color="auto"/>
        <w:bottom w:val="none" w:sz="0" w:space="0" w:color="auto"/>
        <w:right w:val="none" w:sz="0" w:space="0" w:color="auto"/>
      </w:divBdr>
    </w:div>
    <w:div w:id="384568723">
      <w:bodyDiv w:val="1"/>
      <w:marLeft w:val="0"/>
      <w:marRight w:val="0"/>
      <w:marTop w:val="0"/>
      <w:marBottom w:val="0"/>
      <w:divBdr>
        <w:top w:val="none" w:sz="0" w:space="0" w:color="auto"/>
        <w:left w:val="none" w:sz="0" w:space="0" w:color="auto"/>
        <w:bottom w:val="none" w:sz="0" w:space="0" w:color="auto"/>
        <w:right w:val="none" w:sz="0" w:space="0" w:color="auto"/>
      </w:divBdr>
    </w:div>
    <w:div w:id="608049607">
      <w:bodyDiv w:val="1"/>
      <w:marLeft w:val="0"/>
      <w:marRight w:val="0"/>
      <w:marTop w:val="0"/>
      <w:marBottom w:val="0"/>
      <w:divBdr>
        <w:top w:val="none" w:sz="0" w:space="0" w:color="auto"/>
        <w:left w:val="none" w:sz="0" w:space="0" w:color="auto"/>
        <w:bottom w:val="none" w:sz="0" w:space="0" w:color="auto"/>
        <w:right w:val="none" w:sz="0" w:space="0" w:color="auto"/>
      </w:divBdr>
    </w:div>
    <w:div w:id="689836752">
      <w:bodyDiv w:val="1"/>
      <w:marLeft w:val="0"/>
      <w:marRight w:val="0"/>
      <w:marTop w:val="0"/>
      <w:marBottom w:val="0"/>
      <w:divBdr>
        <w:top w:val="none" w:sz="0" w:space="0" w:color="auto"/>
        <w:left w:val="none" w:sz="0" w:space="0" w:color="auto"/>
        <w:bottom w:val="none" w:sz="0" w:space="0" w:color="auto"/>
        <w:right w:val="none" w:sz="0" w:space="0" w:color="auto"/>
      </w:divBdr>
    </w:div>
    <w:div w:id="944767799">
      <w:bodyDiv w:val="1"/>
      <w:marLeft w:val="0"/>
      <w:marRight w:val="0"/>
      <w:marTop w:val="0"/>
      <w:marBottom w:val="0"/>
      <w:divBdr>
        <w:top w:val="none" w:sz="0" w:space="0" w:color="auto"/>
        <w:left w:val="none" w:sz="0" w:space="0" w:color="auto"/>
        <w:bottom w:val="none" w:sz="0" w:space="0" w:color="auto"/>
        <w:right w:val="none" w:sz="0" w:space="0" w:color="auto"/>
      </w:divBdr>
    </w:div>
    <w:div w:id="995838727">
      <w:bodyDiv w:val="1"/>
      <w:marLeft w:val="0"/>
      <w:marRight w:val="0"/>
      <w:marTop w:val="0"/>
      <w:marBottom w:val="0"/>
      <w:divBdr>
        <w:top w:val="none" w:sz="0" w:space="0" w:color="auto"/>
        <w:left w:val="none" w:sz="0" w:space="0" w:color="auto"/>
        <w:bottom w:val="none" w:sz="0" w:space="0" w:color="auto"/>
        <w:right w:val="none" w:sz="0" w:space="0" w:color="auto"/>
      </w:divBdr>
    </w:div>
    <w:div w:id="1282032082">
      <w:bodyDiv w:val="1"/>
      <w:marLeft w:val="0"/>
      <w:marRight w:val="0"/>
      <w:marTop w:val="0"/>
      <w:marBottom w:val="0"/>
      <w:divBdr>
        <w:top w:val="none" w:sz="0" w:space="0" w:color="auto"/>
        <w:left w:val="none" w:sz="0" w:space="0" w:color="auto"/>
        <w:bottom w:val="none" w:sz="0" w:space="0" w:color="auto"/>
        <w:right w:val="none" w:sz="0" w:space="0" w:color="auto"/>
      </w:divBdr>
    </w:div>
    <w:div w:id="1383674537">
      <w:bodyDiv w:val="1"/>
      <w:marLeft w:val="0"/>
      <w:marRight w:val="0"/>
      <w:marTop w:val="0"/>
      <w:marBottom w:val="0"/>
      <w:divBdr>
        <w:top w:val="none" w:sz="0" w:space="0" w:color="auto"/>
        <w:left w:val="none" w:sz="0" w:space="0" w:color="auto"/>
        <w:bottom w:val="none" w:sz="0" w:space="0" w:color="auto"/>
        <w:right w:val="none" w:sz="0" w:space="0" w:color="auto"/>
      </w:divBdr>
    </w:div>
    <w:div w:id="1798521347">
      <w:bodyDiv w:val="1"/>
      <w:marLeft w:val="0"/>
      <w:marRight w:val="0"/>
      <w:marTop w:val="0"/>
      <w:marBottom w:val="0"/>
      <w:divBdr>
        <w:top w:val="none" w:sz="0" w:space="0" w:color="auto"/>
        <w:left w:val="none" w:sz="0" w:space="0" w:color="auto"/>
        <w:bottom w:val="none" w:sz="0" w:space="0" w:color="auto"/>
        <w:right w:val="none" w:sz="0" w:space="0" w:color="auto"/>
      </w:divBdr>
    </w:div>
    <w:div w:id="1843422906">
      <w:bodyDiv w:val="1"/>
      <w:marLeft w:val="0"/>
      <w:marRight w:val="0"/>
      <w:marTop w:val="0"/>
      <w:marBottom w:val="0"/>
      <w:divBdr>
        <w:top w:val="none" w:sz="0" w:space="0" w:color="auto"/>
        <w:left w:val="none" w:sz="0" w:space="0" w:color="auto"/>
        <w:bottom w:val="none" w:sz="0" w:space="0" w:color="auto"/>
        <w:right w:val="none" w:sz="0" w:space="0" w:color="auto"/>
      </w:divBdr>
    </w:div>
    <w:div w:id="1903977205">
      <w:bodyDiv w:val="1"/>
      <w:marLeft w:val="0"/>
      <w:marRight w:val="0"/>
      <w:marTop w:val="0"/>
      <w:marBottom w:val="0"/>
      <w:divBdr>
        <w:top w:val="none" w:sz="0" w:space="0" w:color="auto"/>
        <w:left w:val="none" w:sz="0" w:space="0" w:color="auto"/>
        <w:bottom w:val="none" w:sz="0" w:space="0" w:color="auto"/>
        <w:right w:val="none" w:sz="0" w:space="0" w:color="auto"/>
      </w:divBdr>
    </w:div>
    <w:div w:id="2041933185">
      <w:bodyDiv w:val="1"/>
      <w:marLeft w:val="0"/>
      <w:marRight w:val="0"/>
      <w:marTop w:val="0"/>
      <w:marBottom w:val="0"/>
      <w:divBdr>
        <w:top w:val="none" w:sz="0" w:space="0" w:color="auto"/>
        <w:left w:val="none" w:sz="0" w:space="0" w:color="auto"/>
        <w:bottom w:val="none" w:sz="0" w:space="0" w:color="auto"/>
        <w:right w:val="none" w:sz="0" w:space="0" w:color="auto"/>
      </w:divBdr>
    </w:div>
    <w:div w:id="2059039365">
      <w:bodyDiv w:val="1"/>
      <w:marLeft w:val="0"/>
      <w:marRight w:val="0"/>
      <w:marTop w:val="0"/>
      <w:marBottom w:val="0"/>
      <w:divBdr>
        <w:top w:val="none" w:sz="0" w:space="0" w:color="auto"/>
        <w:left w:val="none" w:sz="0" w:space="0" w:color="auto"/>
        <w:bottom w:val="none" w:sz="0" w:space="0" w:color="auto"/>
        <w:right w:val="none" w:sz="0" w:space="0" w:color="auto"/>
      </w:divBdr>
    </w:div>
    <w:div w:id="20959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juwityastuti@gmail.com" TargetMode="External"/><Relationship Id="rId4" Type="http://schemas.microsoft.com/office/2007/relationships/stylesWithEffects" Target="stylesWithEffects.xml"/><Relationship Id="rId9" Type="http://schemas.openxmlformats.org/officeDocument/2006/relationships/hyperlink" Target="mailto:indahnf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6F8DAC8-2CE1-4F70-8052-53A79192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IndahNF</dc:creator>
  <cp:lastModifiedBy>ASMARA</cp:lastModifiedBy>
  <cp:revision>3</cp:revision>
  <cp:lastPrinted>2019-04-08T04:24:00Z</cp:lastPrinted>
  <dcterms:created xsi:type="dcterms:W3CDTF">2019-04-08T04:06:00Z</dcterms:created>
  <dcterms:modified xsi:type="dcterms:W3CDTF">2019-04-08T04:26:00Z</dcterms:modified>
</cp:coreProperties>
</file>