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EC2A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rFonts w:asciiTheme="majorBidi" w:eastAsiaTheme="minorHAnsi" w:hAnsiTheme="majorBidi" w:cstheme="majorBidi"/>
          <w:sz w:val="20"/>
          <w:szCs w:val="16"/>
          <w:lang w:val="id-ID"/>
        </w:rPr>
        <w:fldChar w:fldCharType="begin" w:fldLock="1"/>
      </w:r>
      <w:r>
        <w:rPr>
          <w:rFonts w:asciiTheme="majorBidi" w:hAnsiTheme="majorBidi" w:cstheme="majorBidi"/>
          <w:sz w:val="20"/>
          <w:szCs w:val="16"/>
        </w:rPr>
        <w:instrText xml:space="preserve">ADDIN Mendeley Bibliography CSL_BIBLIOGRAPHY </w:instrText>
      </w:r>
      <w:r>
        <w:rPr>
          <w:rFonts w:asciiTheme="majorBidi" w:eastAsiaTheme="minorHAnsi" w:hAnsiTheme="majorBidi" w:cstheme="majorBidi"/>
          <w:sz w:val="20"/>
          <w:szCs w:val="16"/>
          <w:lang w:val="id-ID"/>
        </w:rPr>
        <w:fldChar w:fldCharType="separate"/>
      </w:r>
      <w:r>
        <w:rPr>
          <w:sz w:val="20"/>
          <w:szCs w:val="24"/>
        </w:rPr>
        <w:t xml:space="preserve">Afrianto, I. (2012). Collaborative Learning System: Sebuah Alternatif Konten C-Generation Dan Flagship Detiknas. </w:t>
      </w:r>
      <w:r>
        <w:rPr>
          <w:i/>
          <w:iCs/>
          <w:sz w:val="20"/>
          <w:szCs w:val="24"/>
        </w:rPr>
        <w:t>Majalah Ilmiah UNIKOM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8</w:t>
      </w:r>
      <w:r>
        <w:rPr>
          <w:sz w:val="20"/>
          <w:szCs w:val="24"/>
        </w:rPr>
        <w:t>(1), 69–76.</w:t>
      </w:r>
    </w:p>
    <w:p w14:paraId="19720D15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Al-hariri, M. T., &amp; Al-hattami, A. A. (2017). Impact of students ’ use of technology on their learning achievements in physiology courses at the University of Dammam. </w:t>
      </w:r>
      <w:r>
        <w:rPr>
          <w:i/>
          <w:iCs/>
          <w:sz w:val="20"/>
          <w:szCs w:val="24"/>
        </w:rPr>
        <w:t>Journal of Taibah University Medical Sciences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12</w:t>
      </w:r>
      <w:r>
        <w:rPr>
          <w:sz w:val="20"/>
          <w:szCs w:val="24"/>
        </w:rPr>
        <w:t>(1), 82–85. https://doi.org/10.1016/j.jtumed.2016.07.004</w:t>
      </w:r>
    </w:p>
    <w:p w14:paraId="476CA1FD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Ariani, D. (2018). Komponen Pengembangan E-Learning. </w:t>
      </w:r>
      <w:r>
        <w:rPr>
          <w:i/>
          <w:iCs/>
          <w:sz w:val="20"/>
          <w:szCs w:val="24"/>
        </w:rPr>
        <w:t>Jurnal Pembelajaran Inovatif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1</w:t>
      </w:r>
      <w:r>
        <w:rPr>
          <w:sz w:val="20"/>
          <w:szCs w:val="24"/>
        </w:rPr>
        <w:t>(14), 58–64. https://doi.org/10.21009/JPI.011.09</w:t>
      </w:r>
    </w:p>
    <w:p w14:paraId="2D8F4C11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Arputhamalar, A., &amp; Kannan, S. P. (2016). Written Communication in Organisations and The Need to Teach Report Writing to Tertiary Learners. </w:t>
      </w:r>
      <w:r>
        <w:rPr>
          <w:i/>
          <w:iCs/>
          <w:sz w:val="20"/>
          <w:szCs w:val="24"/>
        </w:rPr>
        <w:t>Indian Journal of Applied Research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6</w:t>
      </w:r>
      <w:r>
        <w:rPr>
          <w:sz w:val="20"/>
          <w:szCs w:val="24"/>
        </w:rPr>
        <w:t>(4), 14–16.</w:t>
      </w:r>
    </w:p>
    <w:p w14:paraId="6D65E3E4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Bagon, Š., Gačnik, M., &amp; Starčič, A. I. (2018). Information communication technology use among students in inclusive classrooms. </w:t>
      </w:r>
      <w:r>
        <w:rPr>
          <w:i/>
          <w:iCs/>
          <w:sz w:val="20"/>
          <w:szCs w:val="24"/>
        </w:rPr>
        <w:t>International Journal of Emerging Technologies in Learning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13</w:t>
      </w:r>
      <w:r>
        <w:rPr>
          <w:sz w:val="20"/>
          <w:szCs w:val="24"/>
        </w:rPr>
        <w:t>(6), 56–72. https://doi.org/10.3991/ijet.v13i06.8051</w:t>
      </w:r>
    </w:p>
    <w:p w14:paraId="78E4991C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Dipalaya, T., Susilo, H., &amp; Corebima, A. D. (2016). Pengaruh Strategi Pembelajaran PDEODE (Predict-Discucc-Explain-Observe-Discuss-Explain) Pada Kemampuan Akademik Berbeda Terhadap Keterampilan Komunikasi Siswa. </w:t>
      </w:r>
      <w:r>
        <w:rPr>
          <w:i/>
          <w:iCs/>
          <w:sz w:val="20"/>
          <w:szCs w:val="24"/>
        </w:rPr>
        <w:t>Jurnal Pendidikan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1</w:t>
      </w:r>
      <w:r>
        <w:rPr>
          <w:sz w:val="20"/>
          <w:szCs w:val="24"/>
        </w:rPr>
        <w:t>(9), 1713–1720.</w:t>
      </w:r>
    </w:p>
    <w:p w14:paraId="74D2CDF7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Iftakhar, S. (2016). Google Classroom: what works and how? </w:t>
      </w:r>
      <w:r>
        <w:rPr>
          <w:i/>
          <w:iCs/>
          <w:sz w:val="20"/>
          <w:szCs w:val="24"/>
        </w:rPr>
        <w:t>Journal of Education and Social Sciences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3</w:t>
      </w:r>
      <w:r>
        <w:rPr>
          <w:sz w:val="20"/>
          <w:szCs w:val="24"/>
        </w:rPr>
        <w:t>(Februari), 12–18.</w:t>
      </w:r>
    </w:p>
    <w:p w14:paraId="5634743D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Iksan, Z. H., Zakaria, E., Meeraha, T. S. M., Osman, K., Lian, D. K. C., Mahmud, S. N. D., &amp; Krish, P. (2012). Communication Skills among University Students. </w:t>
      </w:r>
      <w:r>
        <w:rPr>
          <w:i/>
          <w:iCs/>
          <w:sz w:val="20"/>
          <w:szCs w:val="24"/>
        </w:rPr>
        <w:t>Procedia - Social and Behavioral Sciences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59</w:t>
      </w:r>
      <w:r>
        <w:rPr>
          <w:sz w:val="20"/>
          <w:szCs w:val="24"/>
        </w:rPr>
        <w:t>(October), 71–76. https://doi.org/10.1016/j.sbspro.2012.09.247</w:t>
      </w:r>
    </w:p>
    <w:p w14:paraId="355C3D93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Koehler, N., &amp; Hains-Wesson, R. (2018). </w:t>
      </w:r>
      <w:r>
        <w:rPr>
          <w:i/>
          <w:iCs/>
          <w:sz w:val="20"/>
          <w:szCs w:val="24"/>
        </w:rPr>
        <w:t>Development Of The Communication Skills</w:t>
      </w:r>
      <w:r>
        <w:rPr>
          <w:sz w:val="20"/>
          <w:szCs w:val="24"/>
        </w:rPr>
        <w:t>. (J. Terziovski, Ed.) (second edi). Deakin: Course Enhancement Reference Group.</w:t>
      </w:r>
    </w:p>
    <w:p w14:paraId="2EB2FC15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Komba, S. C. (2014). The Perceived Importance Of Communication Skills Course Among University Students: The Case Of Two Universities In Tanzania. </w:t>
      </w:r>
      <w:r>
        <w:rPr>
          <w:i/>
          <w:iCs/>
          <w:sz w:val="20"/>
          <w:szCs w:val="24"/>
        </w:rPr>
        <w:t>African Journal of Teacher Education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4</w:t>
      </w:r>
      <w:r>
        <w:rPr>
          <w:sz w:val="20"/>
          <w:szCs w:val="24"/>
        </w:rPr>
        <w:t>(2), 1–12.</w:t>
      </w:r>
    </w:p>
    <w:p w14:paraId="237D76A4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Nismalasari, Santiani, &amp; Rohmadi, M. (2016). Penerapan Model Pembelajaran Learning Cycle Terhadap Keterampilan Proses Sains dan Hasil Belajar Siswa Pada Pokok Bahasan Getaran Harmonis. </w:t>
      </w:r>
      <w:r>
        <w:rPr>
          <w:i/>
          <w:iCs/>
          <w:sz w:val="20"/>
          <w:szCs w:val="24"/>
        </w:rPr>
        <w:t>EduSains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4</w:t>
      </w:r>
      <w:r>
        <w:rPr>
          <w:sz w:val="20"/>
          <w:szCs w:val="24"/>
        </w:rPr>
        <w:t>(3), 74–94.</w:t>
      </w:r>
    </w:p>
    <w:p w14:paraId="1F3D3038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Putri, D. G. R. (2017). Communication Effectiveness Of Online Media Google Classroom in Supporting The Teaching And Learning Process At Civil Engineering University Riau. </w:t>
      </w:r>
      <w:r>
        <w:rPr>
          <w:i/>
          <w:iCs/>
          <w:sz w:val="20"/>
          <w:szCs w:val="24"/>
        </w:rPr>
        <w:t>JOM FISIP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4</w:t>
      </w:r>
      <w:r>
        <w:rPr>
          <w:sz w:val="20"/>
          <w:szCs w:val="24"/>
        </w:rPr>
        <w:t>(01), 1–15.</w:t>
      </w:r>
    </w:p>
    <w:p w14:paraId="096FA87E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Rohana. (2017). Peningkatan Kemampuan Penalaran Matematis Mahasiswa Calon Guru Melalui Pembelajaran Reflektif. </w:t>
      </w:r>
      <w:r>
        <w:rPr>
          <w:i/>
          <w:iCs/>
          <w:sz w:val="20"/>
          <w:szCs w:val="24"/>
        </w:rPr>
        <w:t>Jurnal Matematika Dan Pendidikan Matematika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6</w:t>
      </w:r>
      <w:r>
        <w:rPr>
          <w:sz w:val="20"/>
          <w:szCs w:val="24"/>
        </w:rPr>
        <w:t>(1), 13–30. https://doi.org/10.22460/infinity.v4i1.76</w:t>
      </w:r>
    </w:p>
    <w:p w14:paraId="1B9F9C94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Solikh, M. N., Sulisworo, D., &amp; Maruto, G. (2018). Pengaruh model pembelajaran blended learning berbantuan google classroom terhadap kemampuan berpikir kritis ditinjau dari self esteem dan kecerdasan intelektual. </w:t>
      </w:r>
      <w:r>
        <w:rPr>
          <w:i/>
          <w:iCs/>
          <w:sz w:val="20"/>
          <w:szCs w:val="24"/>
        </w:rPr>
        <w:t>Jurnal Materi Dan Pembelajaran Fisika (JMPF)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2</w:t>
      </w:r>
      <w:r>
        <w:rPr>
          <w:sz w:val="20"/>
          <w:szCs w:val="24"/>
        </w:rPr>
        <w:t>(8), 27–32.</w:t>
      </w:r>
    </w:p>
    <w:p w14:paraId="55469316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Sonseca, A., Sahuquillo, O., Martinez-Casas, J., Carballeira, J., Denia, F. D., &amp; Ródenas, J. J. (2015). Assessment of oral and written communication competences in the European Higher Education Area : a proposal of evaluation methodologies. In </w:t>
      </w:r>
      <w:r>
        <w:rPr>
          <w:i/>
          <w:iCs/>
          <w:sz w:val="20"/>
          <w:szCs w:val="24"/>
        </w:rPr>
        <w:t>1st International Conference on Higher Education Advances, HEAd´15</w:t>
      </w:r>
      <w:r>
        <w:rPr>
          <w:sz w:val="20"/>
          <w:szCs w:val="24"/>
        </w:rPr>
        <w:t xml:space="preserve"> (pp. 2–9). Valencia: Departamento de Ingeniería Mecánica y de Materiales, Universitat Politècnica de València (UPV). https://doi.org/http://dx.doi.org/10.4995/HEAd15.2015.485</w:t>
      </w:r>
    </w:p>
    <w:p w14:paraId="0F858B1C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Sparks, J. R., Brantley, W., Liu, O. L., Carlson, J., Bridgeman, B., &amp; Golub-smith, M. (2014). </w:t>
      </w:r>
      <w:r>
        <w:rPr>
          <w:i/>
          <w:iCs/>
          <w:sz w:val="20"/>
          <w:szCs w:val="24"/>
        </w:rPr>
        <w:t>in Higher Education : Review and Recommendations for Next-Generation Assessment</w:t>
      </w:r>
      <w:r>
        <w:rPr>
          <w:sz w:val="20"/>
          <w:szCs w:val="24"/>
        </w:rPr>
        <w:t>. Princeton. https://doi.org/10.1002/ets2.12035</w:t>
      </w:r>
    </w:p>
    <w:p w14:paraId="11367C07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Subandi, S., Choirudin, C., Mahmudi, M., Nizaruddin, N., &amp; Hermanita, H. (2018). Building Interactive Communication with Google Classroom. </w:t>
      </w:r>
      <w:r>
        <w:rPr>
          <w:i/>
          <w:iCs/>
          <w:sz w:val="20"/>
          <w:szCs w:val="24"/>
        </w:rPr>
        <w:t>International Journal of Engineering &amp; Technology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7</w:t>
      </w:r>
      <w:r>
        <w:rPr>
          <w:sz w:val="20"/>
          <w:szCs w:val="24"/>
        </w:rPr>
        <w:t>(2.13), 460. https://doi.org/10.14419/ijet.v7i2.13.18141</w:t>
      </w:r>
    </w:p>
    <w:p w14:paraId="7240DDA0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80" w:hanging="48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Sugito, Mulyani, S., Hartono, &amp; Supartono. (2017). Enhancing Students’ Communication Skills Through Problem Posing and Presentation. </w:t>
      </w:r>
      <w:r>
        <w:rPr>
          <w:i/>
          <w:iCs/>
          <w:sz w:val="20"/>
          <w:szCs w:val="24"/>
        </w:rPr>
        <w:t>International Journal of Evaluation and Research in Education</w:t>
      </w:r>
      <w:r>
        <w:rPr>
          <w:sz w:val="20"/>
          <w:szCs w:val="24"/>
        </w:rPr>
        <w:t xml:space="preserve">, </w:t>
      </w:r>
      <w:r>
        <w:rPr>
          <w:i/>
          <w:iCs/>
          <w:sz w:val="20"/>
          <w:szCs w:val="24"/>
        </w:rPr>
        <w:t>6</w:t>
      </w:r>
      <w:r>
        <w:rPr>
          <w:sz w:val="20"/>
          <w:szCs w:val="24"/>
        </w:rPr>
        <w:t xml:space="preserve">(1), 17–22. </w:t>
      </w:r>
      <w:r>
        <w:rPr>
          <w:sz w:val="20"/>
          <w:szCs w:val="24"/>
        </w:rPr>
        <w:lastRenderedPageBreak/>
        <w:t>Retrieved from http://iaesjournal.com/online/index.php/IJERE</w:t>
      </w:r>
    </w:p>
    <w:p w14:paraId="3D832F19" w14:textId="77777777" w:rsidR="000D10C7" w:rsidRDefault="000D10C7" w:rsidP="000D10C7">
      <w:pPr>
        <w:pStyle w:val="Bibliography1"/>
        <w:ind w:left="720" w:hanging="72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</w:rPr>
        <w:fldChar w:fldCharType="begin"/>
      </w:r>
      <w:r>
        <w:rPr>
          <w:rFonts w:asciiTheme="majorBidi" w:hAnsiTheme="majorBidi" w:cstheme="majorBidi"/>
          <w:sz w:val="20"/>
          <w:szCs w:val="20"/>
        </w:rPr>
        <w:instrText xml:space="preserve"> BIBLIOGRAPHY </w:instrText>
      </w:r>
      <w:r>
        <w:rPr>
          <w:rFonts w:asciiTheme="majorBidi" w:hAnsiTheme="majorBidi" w:cstheme="majorBidi"/>
          <w:sz w:val="20"/>
          <w:szCs w:val="20"/>
        </w:rPr>
        <w:fldChar w:fldCharType="separate"/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Sugiyono. (2001). 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Metode Penelitian Bisnis.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Bandung: Alfabeta.</w:t>
      </w:r>
    </w:p>
    <w:p w14:paraId="6CB2A22E" w14:textId="77777777" w:rsidR="000D10C7" w:rsidRDefault="000D10C7" w:rsidP="000D10C7">
      <w:pPr>
        <w:widowControl w:val="0"/>
        <w:autoSpaceDE w:val="0"/>
        <w:autoSpaceDN w:val="0"/>
        <w:adjustRightInd w:val="0"/>
        <w:spacing w:after="160"/>
        <w:ind w:left="426" w:hanging="426"/>
        <w:jc w:val="both"/>
        <w:rPr>
          <w:sz w:val="20"/>
        </w:rPr>
      </w:pPr>
      <w:r>
        <w:rPr>
          <w:rFonts w:asciiTheme="majorBidi" w:hAnsiTheme="majorBidi" w:cstheme="majorBidi"/>
          <w:b/>
          <w:bCs/>
          <w:sz w:val="20"/>
        </w:rPr>
        <w:fldChar w:fldCharType="end"/>
      </w:r>
      <w:r>
        <w:rPr>
          <w:sz w:val="20"/>
          <w:szCs w:val="24"/>
        </w:rPr>
        <w:t xml:space="preserve">Wahyuni, L. M., Masih, I. K., &amp; Rejeki, I. N. M. (2017). Communication Skill Attributes Needed for Vocational Education enter The Workplace. In </w:t>
      </w:r>
      <w:r>
        <w:rPr>
          <w:i/>
          <w:iCs/>
          <w:sz w:val="20"/>
          <w:szCs w:val="24"/>
        </w:rPr>
        <w:t>The 2nd International Joint Conference on Science and Technology (IJCST)</w:t>
      </w:r>
      <w:r>
        <w:rPr>
          <w:sz w:val="20"/>
          <w:szCs w:val="24"/>
        </w:rPr>
        <w:t xml:space="preserve"> (pp. 1–6). Bandung: IOP Publishing. https://doi.org/10.1088/1742-6596/953/1/012111</w:t>
      </w:r>
    </w:p>
    <w:p w14:paraId="236AF10A" w14:textId="1C049F39" w:rsidR="000D10C7" w:rsidRDefault="000D10C7" w:rsidP="000D10C7">
      <w:r>
        <w:rPr>
          <w:rFonts w:asciiTheme="majorBidi" w:hAnsiTheme="majorBidi" w:cstheme="majorBidi"/>
          <w:sz w:val="20"/>
          <w:szCs w:val="16"/>
        </w:rPr>
        <w:fldChar w:fldCharType="end"/>
      </w:r>
    </w:p>
    <w:sectPr w:rsidR="000D1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C7"/>
    <w:rsid w:val="000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30B5"/>
  <w15:chartTrackingRefBased/>
  <w15:docId w15:val="{A7525C94-EB9E-4C43-9340-7A88C439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10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next w:val="Normal"/>
    <w:uiPriority w:val="37"/>
    <w:unhideWhenUsed/>
    <w:rsid w:val="000D10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2021-06-17T10:06:00Z</dcterms:created>
  <dcterms:modified xsi:type="dcterms:W3CDTF">2021-06-17T10:07:00Z</dcterms:modified>
</cp:coreProperties>
</file>