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283"/>
        <w:gridCol w:w="6946"/>
      </w:tblGrid>
      <w:tr w:rsidR="005B30FC" w:rsidRPr="0081151B" w14:paraId="781A2A72" w14:textId="77777777" w:rsidTr="0078343B">
        <w:trPr>
          <w:trHeight w:val="5013"/>
        </w:trPr>
        <w:tc>
          <w:tcPr>
            <w:tcW w:w="3545" w:type="dxa"/>
            <w:tcBorders>
              <w:right w:val="single" w:sz="4" w:space="0" w:color="auto"/>
            </w:tcBorders>
          </w:tcPr>
          <w:p w14:paraId="3A47AB83" w14:textId="7F7D5F12" w:rsidR="005B30FC" w:rsidRPr="0081151B" w:rsidRDefault="005B30FC" w:rsidP="0078343B">
            <w:pPr>
              <w:spacing w:line="276" w:lineRule="auto"/>
              <w:jc w:val="both"/>
              <w:rPr>
                <w:rFonts w:ascii="Times New Roman" w:hAnsi="Times New Roman"/>
                <w:lang w:val="en-US"/>
              </w:rPr>
            </w:pPr>
            <w:r w:rsidRPr="0081151B">
              <w:rPr>
                <w:rFonts w:ascii="Times New Roman" w:hAnsi="Times New Roman"/>
                <w:noProof/>
                <w:lang w:val="en-US"/>
              </w:rPr>
              <w:drawing>
                <wp:anchor distT="0" distB="0" distL="114300" distR="114300" simplePos="0" relativeHeight="251665408" behindDoc="0" locked="0" layoutInCell="1" allowOverlap="1" wp14:anchorId="1EDB5E23" wp14:editId="5DFEEEFB">
                  <wp:simplePos x="0" y="0"/>
                  <wp:positionH relativeFrom="column">
                    <wp:posOffset>-425450</wp:posOffset>
                  </wp:positionH>
                  <wp:positionV relativeFrom="paragraph">
                    <wp:posOffset>24130</wp:posOffset>
                  </wp:positionV>
                  <wp:extent cx="2178050" cy="857250"/>
                  <wp:effectExtent l="0" t="0" r="0" b="0"/>
                  <wp:wrapSquare wrapText="bothSides"/>
                  <wp:docPr id="198586806" name="Picture 2"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6806" name="Picture 2" descr="A white and black sign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050" cy="857250"/>
                          </a:xfrm>
                          <a:prstGeom prst="rect">
                            <a:avLst/>
                          </a:prstGeom>
                          <a:noFill/>
                        </pic:spPr>
                      </pic:pic>
                    </a:graphicData>
                  </a:graphic>
                  <wp14:sizeRelH relativeFrom="page">
                    <wp14:pctWidth>0</wp14:pctWidth>
                  </wp14:sizeRelH>
                  <wp14:sizeRelV relativeFrom="page">
                    <wp14:pctHeight>0</wp14:pctHeight>
                  </wp14:sizeRelV>
                </wp:anchor>
              </w:drawing>
            </w:r>
          </w:p>
        </w:tc>
        <w:tc>
          <w:tcPr>
            <w:tcW w:w="283" w:type="dxa"/>
            <w:vMerge w:val="restart"/>
            <w:tcBorders>
              <w:left w:val="single" w:sz="4" w:space="0" w:color="auto"/>
            </w:tcBorders>
          </w:tcPr>
          <w:p w14:paraId="01381729" w14:textId="77777777" w:rsidR="005B30FC" w:rsidRPr="0081151B" w:rsidRDefault="005B30FC" w:rsidP="006F4D01">
            <w:pPr>
              <w:spacing w:after="240" w:line="276" w:lineRule="auto"/>
              <w:rPr>
                <w:rFonts w:ascii="Arial" w:hAnsi="Arial"/>
                <w:bCs/>
                <w:sz w:val="18"/>
                <w:szCs w:val="12"/>
                <w:lang w:val="en-US"/>
              </w:rPr>
            </w:pPr>
          </w:p>
        </w:tc>
        <w:tc>
          <w:tcPr>
            <w:tcW w:w="6946" w:type="dxa"/>
            <w:vMerge w:val="restart"/>
            <w:tcBorders>
              <w:left w:val="nil"/>
            </w:tcBorders>
          </w:tcPr>
          <w:p w14:paraId="6A8B866C" w14:textId="0A1FC74C" w:rsidR="005B30FC" w:rsidRPr="009B6954" w:rsidRDefault="0091064C" w:rsidP="00351A0B">
            <w:pPr>
              <w:pBdr>
                <w:top w:val="single" w:sz="12" w:space="4" w:color="auto"/>
                <w:bottom w:val="single" w:sz="12" w:space="4" w:color="auto"/>
              </w:pBdr>
              <w:spacing w:after="240"/>
              <w:jc w:val="center"/>
              <w:rPr>
                <w:rFonts w:ascii="Cambria" w:hAnsi="Cambria"/>
                <w:b/>
                <w:sz w:val="24"/>
                <w:szCs w:val="24"/>
                <w:lang w:val="en-US"/>
              </w:rPr>
            </w:pPr>
            <w:r w:rsidRPr="009B6954">
              <w:rPr>
                <w:rFonts w:ascii="Cambria" w:hAnsi="Cambria"/>
                <w:b/>
                <w:sz w:val="24"/>
                <w:szCs w:val="24"/>
                <w:lang w:val="en-US"/>
              </w:rPr>
              <w:t>STUNTING IN THE SPOTLIGHT: DYNAMIC PANEL DATA ANALYSIS</w:t>
            </w:r>
          </w:p>
          <w:p w14:paraId="6A571C0F" w14:textId="49F34169" w:rsidR="00326490" w:rsidRPr="009B6954" w:rsidRDefault="0066167E" w:rsidP="0066167E">
            <w:pPr>
              <w:widowControl w:val="0"/>
              <w:spacing w:after="200" w:line="276" w:lineRule="auto"/>
              <w:ind w:left="321" w:right="594"/>
              <w:rPr>
                <w:rFonts w:ascii="Cambria" w:hAnsi="Cambria"/>
                <w:b/>
                <w:bCs/>
                <w:i/>
                <w:iCs/>
                <w:sz w:val="24"/>
                <w:szCs w:val="24"/>
                <w:lang w:val="en-US"/>
              </w:rPr>
            </w:pPr>
            <w:r w:rsidRPr="009B6954">
              <w:rPr>
                <w:rFonts w:ascii="Cambria" w:hAnsi="Cambria"/>
                <w:b/>
                <w:bCs/>
                <w:i/>
                <w:iCs/>
                <w:sz w:val="24"/>
                <w:szCs w:val="24"/>
                <w:lang w:val="en-US"/>
              </w:rPr>
              <w:t>Endang Pinta Utami</w:t>
            </w:r>
            <w:r w:rsidR="00351A0B" w:rsidRPr="00351A0B">
              <w:rPr>
                <w:rFonts w:ascii="Cambria" w:hAnsi="Cambria"/>
                <w:b/>
                <w:bCs/>
                <w:i/>
                <w:iCs/>
                <w:sz w:val="24"/>
                <w:szCs w:val="24"/>
                <w:vertAlign w:val="superscript"/>
                <w:lang w:val="en-US"/>
              </w:rPr>
              <w:t>1</w:t>
            </w:r>
            <w:r w:rsidR="00351A0B">
              <w:rPr>
                <w:rFonts w:ascii="Cambria" w:hAnsi="Cambria"/>
                <w:b/>
                <w:bCs/>
                <w:i/>
                <w:iCs/>
                <w:sz w:val="24"/>
                <w:szCs w:val="24"/>
                <w:vertAlign w:val="superscript"/>
                <w:lang w:val="en-US"/>
              </w:rPr>
              <w:t>*</w:t>
            </w:r>
            <w:r w:rsidR="00351A0B">
              <w:rPr>
                <w:rFonts w:ascii="Cambria" w:hAnsi="Cambria"/>
                <w:b/>
                <w:bCs/>
                <w:i/>
                <w:iCs/>
                <w:sz w:val="24"/>
                <w:szCs w:val="24"/>
                <w:lang w:val="en-US"/>
              </w:rPr>
              <w:t>, Irianto Harko Saputro</w:t>
            </w:r>
            <w:r w:rsidR="00351A0B" w:rsidRPr="00351A0B">
              <w:rPr>
                <w:rFonts w:ascii="Cambria" w:hAnsi="Cambria"/>
                <w:b/>
                <w:bCs/>
                <w:i/>
                <w:iCs/>
                <w:sz w:val="24"/>
                <w:szCs w:val="24"/>
                <w:vertAlign w:val="superscript"/>
                <w:lang w:val="en-US"/>
              </w:rPr>
              <w:t>2</w:t>
            </w:r>
          </w:p>
          <w:p w14:paraId="757527D7" w14:textId="77777777" w:rsidR="00351A0B" w:rsidRPr="00351A0B" w:rsidRDefault="00351A0B" w:rsidP="00351A0B">
            <w:pPr>
              <w:widowControl w:val="0"/>
              <w:ind w:left="459" w:right="595" w:hanging="136"/>
              <w:rPr>
                <w:rFonts w:ascii="Cambria" w:hAnsi="Cambria"/>
                <w:i/>
                <w:iCs/>
                <w:sz w:val="22"/>
                <w:szCs w:val="22"/>
              </w:rPr>
            </w:pPr>
            <w:r w:rsidRPr="00351A0B">
              <w:rPr>
                <w:rFonts w:ascii="Cambria" w:hAnsi="Cambria"/>
                <w:i/>
                <w:iCs/>
                <w:sz w:val="22"/>
                <w:szCs w:val="22"/>
                <w:vertAlign w:val="superscript"/>
              </w:rPr>
              <w:t>1)</w:t>
            </w:r>
            <w:r w:rsidRPr="00351A0B">
              <w:rPr>
                <w:rFonts w:ascii="Cambria" w:hAnsi="Cambria"/>
                <w:i/>
                <w:iCs/>
                <w:sz w:val="22"/>
                <w:szCs w:val="22"/>
              </w:rPr>
              <w:t xml:space="preserve"> </w:t>
            </w:r>
            <w:r w:rsidR="0091064C" w:rsidRPr="00351A0B">
              <w:rPr>
                <w:rFonts w:ascii="Cambria" w:hAnsi="Cambria"/>
                <w:i/>
                <w:iCs/>
                <w:sz w:val="22"/>
                <w:szCs w:val="22"/>
              </w:rPr>
              <w:t>Faculty of Economics an</w:t>
            </w:r>
            <w:r w:rsidRPr="00351A0B">
              <w:rPr>
                <w:rFonts w:ascii="Cambria" w:hAnsi="Cambria"/>
                <w:i/>
                <w:iCs/>
                <w:sz w:val="22"/>
                <w:szCs w:val="22"/>
              </w:rPr>
              <w:t xml:space="preserve">d Business, Universitas </w:t>
            </w:r>
            <w:proofErr w:type="spellStart"/>
            <w:r w:rsidRPr="00351A0B">
              <w:rPr>
                <w:rFonts w:ascii="Cambria" w:hAnsi="Cambria"/>
                <w:i/>
                <w:iCs/>
                <w:sz w:val="22"/>
                <w:szCs w:val="22"/>
              </w:rPr>
              <w:t>Sebelas</w:t>
            </w:r>
            <w:proofErr w:type="spellEnd"/>
          </w:p>
          <w:p w14:paraId="46456298" w14:textId="77777777" w:rsidR="00351A0B" w:rsidRPr="00351A0B" w:rsidRDefault="00351A0B" w:rsidP="00351A0B">
            <w:pPr>
              <w:widowControl w:val="0"/>
              <w:ind w:left="459" w:right="595"/>
              <w:rPr>
                <w:rFonts w:ascii="Cambria" w:hAnsi="Cambria"/>
                <w:i/>
                <w:iCs/>
                <w:sz w:val="22"/>
                <w:szCs w:val="22"/>
              </w:rPr>
            </w:pPr>
            <w:r w:rsidRPr="00351A0B">
              <w:rPr>
                <w:rFonts w:ascii="Cambria" w:hAnsi="Cambria"/>
                <w:i/>
                <w:iCs/>
                <w:sz w:val="22"/>
                <w:szCs w:val="22"/>
              </w:rPr>
              <w:t xml:space="preserve"> </w:t>
            </w:r>
            <w:r w:rsidR="0091064C" w:rsidRPr="00351A0B">
              <w:rPr>
                <w:rFonts w:ascii="Cambria" w:hAnsi="Cambria"/>
                <w:i/>
                <w:iCs/>
                <w:sz w:val="22"/>
                <w:szCs w:val="22"/>
              </w:rPr>
              <w:t xml:space="preserve">Maret, Jl. Ir. </w:t>
            </w:r>
            <w:proofErr w:type="spellStart"/>
            <w:r w:rsidR="0091064C" w:rsidRPr="00351A0B">
              <w:rPr>
                <w:rFonts w:ascii="Cambria" w:hAnsi="Cambria"/>
                <w:i/>
                <w:iCs/>
                <w:sz w:val="22"/>
                <w:szCs w:val="22"/>
              </w:rPr>
              <w:t>Sutami</w:t>
            </w:r>
            <w:proofErr w:type="spellEnd"/>
            <w:r w:rsidR="0091064C" w:rsidRPr="00351A0B">
              <w:rPr>
                <w:rFonts w:ascii="Cambria" w:hAnsi="Cambria"/>
                <w:i/>
                <w:iCs/>
                <w:sz w:val="22"/>
                <w:szCs w:val="22"/>
              </w:rPr>
              <w:t xml:space="preserve"> 36A, Surakarta, 57126, Indonesia</w:t>
            </w:r>
          </w:p>
          <w:p w14:paraId="5A5B0307" w14:textId="45ABF542" w:rsidR="0066167E" w:rsidRPr="00351A0B" w:rsidRDefault="00351A0B" w:rsidP="00351A0B">
            <w:pPr>
              <w:widowControl w:val="0"/>
              <w:ind w:left="318" w:right="595"/>
              <w:rPr>
                <w:rFonts w:ascii="Cambria" w:hAnsi="Cambria"/>
                <w:i/>
                <w:iCs/>
                <w:sz w:val="22"/>
                <w:szCs w:val="22"/>
              </w:rPr>
            </w:pPr>
            <w:r w:rsidRPr="00351A0B">
              <w:rPr>
                <w:rFonts w:ascii="Cambria" w:hAnsi="Cambria"/>
                <w:i/>
                <w:iCs/>
                <w:sz w:val="22"/>
                <w:szCs w:val="22"/>
                <w:vertAlign w:val="superscript"/>
              </w:rPr>
              <w:t xml:space="preserve">2) </w:t>
            </w:r>
            <w:r w:rsidRPr="00351A0B">
              <w:rPr>
                <w:rFonts w:ascii="Cambria" w:hAnsi="Cambria"/>
                <w:i/>
                <w:iCs/>
                <w:sz w:val="22"/>
                <w:szCs w:val="22"/>
              </w:rPr>
              <w:t xml:space="preserve">Bank </w:t>
            </w:r>
            <w:proofErr w:type="spellStart"/>
            <w:r w:rsidRPr="00351A0B">
              <w:rPr>
                <w:rFonts w:ascii="Cambria" w:hAnsi="Cambria"/>
                <w:i/>
                <w:iCs/>
                <w:sz w:val="22"/>
                <w:szCs w:val="22"/>
              </w:rPr>
              <w:t>Jateng</w:t>
            </w:r>
            <w:proofErr w:type="spellEnd"/>
          </w:p>
          <w:p w14:paraId="07EC8A66" w14:textId="77777777" w:rsidR="00351A0B" w:rsidRPr="00351A0B" w:rsidRDefault="00351A0B" w:rsidP="00351A0B">
            <w:pPr>
              <w:widowControl w:val="0"/>
              <w:ind w:left="318" w:right="595"/>
              <w:rPr>
                <w:rFonts w:ascii="Cambria" w:hAnsi="Cambria"/>
                <w:i/>
                <w:iCs/>
                <w:sz w:val="24"/>
                <w:szCs w:val="24"/>
              </w:rPr>
            </w:pPr>
          </w:p>
          <w:p w14:paraId="6C880ABB" w14:textId="77777777" w:rsidR="005B30FC" w:rsidRPr="009B6954" w:rsidRDefault="005B30FC" w:rsidP="006F4D01">
            <w:pPr>
              <w:widowControl w:val="0"/>
              <w:tabs>
                <w:tab w:val="left" w:pos="960"/>
              </w:tabs>
              <w:ind w:left="321" w:right="594"/>
              <w:jc w:val="both"/>
              <w:rPr>
                <w:rFonts w:ascii="Cambria" w:hAnsi="Cambria" w:cs="Arial"/>
                <w:b/>
                <w:bCs/>
                <w:sz w:val="24"/>
                <w:szCs w:val="24"/>
                <w:lang w:val="en-US"/>
              </w:rPr>
            </w:pPr>
            <w:r w:rsidRPr="009B6954">
              <w:rPr>
                <w:rFonts w:ascii="Cambria" w:hAnsi="Cambria" w:cs="Arial"/>
                <w:b/>
                <w:bCs/>
                <w:sz w:val="24"/>
                <w:szCs w:val="24"/>
                <w:lang w:val="en-US"/>
              </w:rPr>
              <w:t xml:space="preserve">Abstract: </w:t>
            </w:r>
          </w:p>
          <w:p w14:paraId="3A10860B" w14:textId="242E24C4" w:rsidR="005B30FC" w:rsidRPr="009B6954" w:rsidRDefault="0066167E" w:rsidP="0066167E">
            <w:pPr>
              <w:widowControl w:val="0"/>
              <w:tabs>
                <w:tab w:val="left" w:pos="960"/>
                <w:tab w:val="left" w:pos="6270"/>
              </w:tabs>
              <w:spacing w:after="200"/>
              <w:ind w:left="321" w:right="594"/>
              <w:jc w:val="both"/>
              <w:rPr>
                <w:rFonts w:ascii="Cambria" w:hAnsi="Cambria" w:cs="Arial"/>
                <w:i/>
                <w:iCs/>
                <w:sz w:val="24"/>
                <w:szCs w:val="24"/>
                <w:lang w:val="en-US"/>
              </w:rPr>
            </w:pPr>
            <w:r w:rsidRPr="009B6954">
              <w:rPr>
                <w:rFonts w:ascii="Cambria" w:hAnsi="Cambria" w:cs="Arial"/>
                <w:i/>
                <w:iCs/>
                <w:sz w:val="24"/>
                <w:szCs w:val="24"/>
                <w:lang w:val="en-US"/>
              </w:rPr>
              <w:t xml:space="preserve">This research examines the influence of the Human Development Index (HDI), early marriage, information and communication technology (ICT), and the Gender Inequality Index (GII) on the incidence of stunting in Indonesia using panel data from 34 provinces during the 2020-2023 period. The analysis was carried out using the Generalized Method of Moments (GMM). This study examines the determinants of stunting in children in Indonesia, with a focus on the Human Development Index, Early Marriage, Information and Communication Technology, and </w:t>
            </w:r>
            <w:r w:rsidR="006A33E4">
              <w:rPr>
                <w:rFonts w:ascii="Cambria" w:hAnsi="Cambria" w:cs="Arial"/>
                <w:i/>
                <w:iCs/>
                <w:sz w:val="24"/>
                <w:szCs w:val="24"/>
                <w:lang w:val="en-US"/>
              </w:rPr>
              <w:t>the</w:t>
            </w:r>
            <w:r w:rsidRPr="009B6954">
              <w:rPr>
                <w:rFonts w:ascii="Cambria" w:hAnsi="Cambria" w:cs="Arial"/>
                <w:i/>
                <w:iCs/>
                <w:sz w:val="24"/>
                <w:szCs w:val="24"/>
                <w:lang w:val="en-US"/>
              </w:rPr>
              <w:t xml:space="preserve"> Gender Inequality Index. Contrary to expectations, individual analysis of these variables failed to reveal significant relationships with stunting outcomes. However, simultaneous analysis of these factors revealed a collective impact of 18% on stunting variance, suggesting that a comprehensive approach incorporating multiple determinants may be necessary to effectively address this pervasive public health issue. The findings of this study have important implications for the development of targeted interventions aimed at reducing stunting in Indonesia. Diagnostic tests, including the </w:t>
            </w:r>
            <w:proofErr w:type="spellStart"/>
            <w:r w:rsidRPr="009B6954">
              <w:rPr>
                <w:rFonts w:ascii="Cambria" w:hAnsi="Cambria" w:cs="Arial"/>
                <w:i/>
                <w:iCs/>
                <w:sz w:val="24"/>
                <w:szCs w:val="24"/>
                <w:lang w:val="en-US"/>
              </w:rPr>
              <w:t>Sargan</w:t>
            </w:r>
            <w:proofErr w:type="spellEnd"/>
            <w:r w:rsidRPr="009B6954">
              <w:rPr>
                <w:rFonts w:ascii="Cambria" w:hAnsi="Cambria" w:cs="Arial"/>
                <w:i/>
                <w:iCs/>
                <w:sz w:val="24"/>
                <w:szCs w:val="24"/>
                <w:lang w:val="en-US"/>
              </w:rPr>
              <w:t xml:space="preserve"> test and the Arellano-Bond autocorrelation test, demonstrated the validity of the instruments and the absence of autocorrelation problems at the second level. This research provides important policy implications, such as increasing HDI, preventing early marriage, utilizing ICT, and empowering women to reduce the incidence of stunting in Indonesia.</w:t>
            </w:r>
          </w:p>
          <w:p w14:paraId="5F5B12D7" w14:textId="77777777" w:rsidR="00326490" w:rsidRPr="009B6954" w:rsidRDefault="00326490" w:rsidP="006F4D01">
            <w:pPr>
              <w:widowControl w:val="0"/>
              <w:tabs>
                <w:tab w:val="left" w:pos="960"/>
                <w:tab w:val="left" w:pos="6270"/>
              </w:tabs>
              <w:spacing w:after="200"/>
              <w:ind w:left="321" w:right="594"/>
              <w:jc w:val="both"/>
              <w:rPr>
                <w:rFonts w:ascii="Cambria" w:hAnsi="Cambria" w:cs="Arial"/>
                <w:sz w:val="24"/>
                <w:szCs w:val="24"/>
                <w:lang w:val="en-US"/>
              </w:rPr>
            </w:pPr>
          </w:p>
          <w:p w14:paraId="34E9D8B0" w14:textId="77777777" w:rsidR="00326490" w:rsidRPr="009B6954" w:rsidRDefault="00326490" w:rsidP="006F4D01">
            <w:pPr>
              <w:widowControl w:val="0"/>
              <w:tabs>
                <w:tab w:val="left" w:pos="960"/>
                <w:tab w:val="left" w:pos="6270"/>
              </w:tabs>
              <w:spacing w:after="200"/>
              <w:ind w:left="321" w:right="594"/>
              <w:jc w:val="both"/>
              <w:rPr>
                <w:rFonts w:ascii="Cambria" w:hAnsi="Cambria" w:cs="Arial"/>
                <w:sz w:val="24"/>
                <w:szCs w:val="24"/>
                <w:lang w:val="en-US"/>
              </w:rPr>
            </w:pPr>
          </w:p>
          <w:p w14:paraId="26F3333B" w14:textId="3B3C6BE7" w:rsidR="005B30FC" w:rsidRPr="009B6954" w:rsidRDefault="005B30FC" w:rsidP="006F4D01">
            <w:pPr>
              <w:widowControl w:val="0"/>
              <w:tabs>
                <w:tab w:val="left" w:pos="960"/>
              </w:tabs>
              <w:spacing w:after="200"/>
              <w:ind w:left="321" w:right="594"/>
              <w:rPr>
                <w:rFonts w:ascii="Cambria" w:hAnsi="Cambria"/>
                <w:sz w:val="24"/>
                <w:szCs w:val="24"/>
                <w:lang w:val="en-US"/>
              </w:rPr>
            </w:pPr>
            <w:r w:rsidRPr="009B6954">
              <w:rPr>
                <w:rFonts w:ascii="Cambria" w:hAnsi="Cambria"/>
                <w:sz w:val="24"/>
                <w:szCs w:val="24"/>
                <w:lang w:val="en-US"/>
              </w:rPr>
              <w:t xml:space="preserve">JEL: </w:t>
            </w:r>
            <w:r w:rsidR="006B7455" w:rsidRPr="009B6954">
              <w:rPr>
                <w:rFonts w:ascii="Cambria" w:hAnsi="Cambria"/>
                <w:sz w:val="24"/>
                <w:szCs w:val="24"/>
                <w:lang w:val="en-US"/>
              </w:rPr>
              <w:t>D63, O33</w:t>
            </w:r>
            <w:r w:rsidRPr="009B6954">
              <w:rPr>
                <w:rFonts w:ascii="Cambria" w:hAnsi="Cambria"/>
                <w:sz w:val="24"/>
                <w:szCs w:val="24"/>
                <w:lang w:val="en-US"/>
              </w:rPr>
              <w:t xml:space="preserve"> </w:t>
            </w:r>
          </w:p>
          <w:p w14:paraId="5B01331A" w14:textId="77777777" w:rsidR="005B30FC" w:rsidRPr="009B6954" w:rsidRDefault="005B30FC" w:rsidP="006F4D01">
            <w:pPr>
              <w:widowControl w:val="0"/>
              <w:pBdr>
                <w:bottom w:val="single" w:sz="12" w:space="0" w:color="auto"/>
              </w:pBdr>
              <w:tabs>
                <w:tab w:val="left" w:pos="960"/>
              </w:tabs>
              <w:spacing w:line="276" w:lineRule="auto"/>
              <w:jc w:val="both"/>
              <w:rPr>
                <w:rFonts w:ascii="Cambria" w:hAnsi="Cambria"/>
                <w:sz w:val="24"/>
                <w:szCs w:val="24"/>
                <w:lang w:val="en-US"/>
              </w:rPr>
            </w:pPr>
          </w:p>
          <w:p w14:paraId="658D4843" w14:textId="3C150B68" w:rsidR="0091064C" w:rsidRPr="00966744" w:rsidRDefault="0091064C" w:rsidP="00966744">
            <w:pPr>
              <w:spacing w:before="120" w:line="276" w:lineRule="auto"/>
              <w:jc w:val="both"/>
              <w:rPr>
                <w:rFonts w:ascii="Arial" w:hAnsi="Arial" w:cs="Arial"/>
                <w:lang w:val="en-US"/>
              </w:rPr>
            </w:pPr>
          </w:p>
        </w:tc>
      </w:tr>
      <w:tr w:rsidR="005B30FC" w:rsidRPr="0081151B" w14:paraId="17E0475D" w14:textId="77777777" w:rsidTr="009B6954">
        <w:trPr>
          <w:trHeight w:val="4752"/>
        </w:trPr>
        <w:tc>
          <w:tcPr>
            <w:tcW w:w="3545" w:type="dxa"/>
            <w:tcBorders>
              <w:right w:val="single" w:sz="4" w:space="0" w:color="auto"/>
            </w:tcBorders>
          </w:tcPr>
          <w:p w14:paraId="3CFE4265" w14:textId="1C3FD07F" w:rsidR="005B30FC" w:rsidRPr="0081151B" w:rsidRDefault="005B30FC" w:rsidP="006F4D01">
            <w:pPr>
              <w:spacing w:line="276" w:lineRule="auto"/>
              <w:jc w:val="both"/>
              <w:rPr>
                <w:rFonts w:ascii="Times New Roman" w:hAnsi="Times New Roman"/>
                <w:lang w:val="en-US"/>
              </w:rPr>
            </w:pPr>
          </w:p>
          <w:p w14:paraId="0145E3A7" w14:textId="77777777" w:rsidR="005B30FC" w:rsidRPr="000B42AE" w:rsidRDefault="005B30FC" w:rsidP="006F4D01">
            <w:pPr>
              <w:spacing w:line="276" w:lineRule="auto"/>
              <w:ind w:right="558"/>
              <w:jc w:val="both"/>
              <w:rPr>
                <w:rFonts w:ascii="Cambria" w:hAnsi="Cambria" w:cs="Arial"/>
                <w:sz w:val="24"/>
                <w:szCs w:val="24"/>
                <w:lang w:val="en-US"/>
              </w:rPr>
            </w:pPr>
            <w:r w:rsidRPr="000B42AE">
              <w:rPr>
                <w:rFonts w:ascii="Cambria" w:hAnsi="Cambria" w:cs="Arial"/>
                <w:b/>
                <w:bCs/>
                <w:sz w:val="24"/>
                <w:szCs w:val="24"/>
                <w:lang w:val="en-US"/>
              </w:rPr>
              <w:t>Keywords</w:t>
            </w:r>
            <w:r w:rsidRPr="000B42AE">
              <w:rPr>
                <w:rFonts w:ascii="Cambria" w:hAnsi="Cambria" w:cs="Arial"/>
                <w:sz w:val="24"/>
                <w:szCs w:val="24"/>
                <w:lang w:val="en-US"/>
              </w:rPr>
              <w:t>:</w:t>
            </w:r>
          </w:p>
          <w:p w14:paraId="06ED4937" w14:textId="601B36D5" w:rsidR="005B30FC" w:rsidRPr="000B42AE" w:rsidRDefault="0066167E" w:rsidP="0066167E">
            <w:pPr>
              <w:spacing w:line="276" w:lineRule="auto"/>
              <w:ind w:right="558"/>
              <w:jc w:val="both"/>
              <w:rPr>
                <w:rFonts w:ascii="Cambria" w:hAnsi="Cambria" w:cs="Arial"/>
                <w:i/>
                <w:iCs/>
                <w:sz w:val="24"/>
                <w:szCs w:val="24"/>
                <w:lang w:val="en-US"/>
              </w:rPr>
            </w:pPr>
            <w:r w:rsidRPr="000B42AE">
              <w:rPr>
                <w:rFonts w:ascii="Cambria" w:hAnsi="Cambria" w:cs="Arial"/>
                <w:i/>
                <w:iCs/>
                <w:sz w:val="24"/>
                <w:szCs w:val="24"/>
                <w:lang w:val="en-US"/>
              </w:rPr>
              <w:t>Stunting, Human Development Index, Early Marriage, Information and Communication Technology, and The Gender Inequality Index</w:t>
            </w:r>
          </w:p>
          <w:p w14:paraId="581E64C6" w14:textId="77777777" w:rsidR="005B30FC" w:rsidRPr="000B42AE" w:rsidRDefault="005B30FC" w:rsidP="006F4D01">
            <w:pPr>
              <w:spacing w:line="276" w:lineRule="auto"/>
              <w:ind w:right="558"/>
              <w:jc w:val="both"/>
              <w:rPr>
                <w:rFonts w:ascii="Cambria" w:hAnsi="Cambria" w:cs="Arial"/>
                <w:sz w:val="24"/>
                <w:szCs w:val="24"/>
                <w:lang w:val="en-US"/>
              </w:rPr>
            </w:pPr>
          </w:p>
          <w:p w14:paraId="210CD6B3" w14:textId="77777777" w:rsidR="005B30FC" w:rsidRPr="000B42AE" w:rsidRDefault="005B30FC" w:rsidP="006F4D01">
            <w:pPr>
              <w:spacing w:line="276" w:lineRule="auto"/>
              <w:ind w:right="558"/>
              <w:jc w:val="both"/>
              <w:rPr>
                <w:rFonts w:ascii="Cambria" w:hAnsi="Cambria" w:cs="Arial"/>
                <w:sz w:val="24"/>
                <w:szCs w:val="24"/>
                <w:lang w:val="en-US"/>
              </w:rPr>
            </w:pPr>
          </w:p>
          <w:p w14:paraId="0495518B" w14:textId="77777777" w:rsidR="005B30FC" w:rsidRPr="000B42AE" w:rsidRDefault="005B30FC" w:rsidP="006F4D01">
            <w:pPr>
              <w:spacing w:line="276" w:lineRule="auto"/>
              <w:ind w:right="558"/>
              <w:jc w:val="both"/>
              <w:rPr>
                <w:rFonts w:ascii="Cambria" w:hAnsi="Cambria" w:cs="Arial"/>
                <w:sz w:val="24"/>
                <w:szCs w:val="24"/>
                <w:lang w:val="en-US"/>
              </w:rPr>
            </w:pPr>
          </w:p>
          <w:p w14:paraId="6F660408" w14:textId="77777777" w:rsidR="005B30FC" w:rsidRPr="000B42AE" w:rsidRDefault="005B30FC" w:rsidP="006F4D01">
            <w:pPr>
              <w:spacing w:line="276" w:lineRule="auto"/>
              <w:ind w:right="558"/>
              <w:jc w:val="both"/>
              <w:rPr>
                <w:rFonts w:ascii="Cambria" w:hAnsi="Cambria" w:cs="Arial"/>
                <w:sz w:val="24"/>
                <w:szCs w:val="24"/>
                <w:lang w:val="en-US"/>
              </w:rPr>
            </w:pPr>
            <w:r w:rsidRPr="000B42AE">
              <w:rPr>
                <w:rFonts w:ascii="Cambria" w:hAnsi="Cambria" w:cs="Arial"/>
                <w:b/>
                <w:bCs/>
                <w:sz w:val="24"/>
                <w:szCs w:val="24"/>
                <w:lang w:val="en-US"/>
              </w:rPr>
              <w:t>Corresponding Author</w:t>
            </w:r>
            <w:r w:rsidRPr="000B42AE">
              <w:rPr>
                <w:rFonts w:ascii="Cambria" w:hAnsi="Cambria" w:cs="Arial"/>
                <w:sz w:val="24"/>
                <w:szCs w:val="24"/>
                <w:lang w:val="en-US"/>
              </w:rPr>
              <w:t>:</w:t>
            </w:r>
          </w:p>
          <w:p w14:paraId="37B58C23" w14:textId="5B238D06" w:rsidR="005B30FC" w:rsidRPr="000B42AE" w:rsidRDefault="001A728B" w:rsidP="006F4D01">
            <w:pPr>
              <w:spacing w:line="276" w:lineRule="auto"/>
              <w:ind w:right="558"/>
              <w:jc w:val="both"/>
              <w:rPr>
                <w:rFonts w:ascii="Cambria" w:hAnsi="Cambria" w:cs="Arial"/>
                <w:sz w:val="24"/>
                <w:szCs w:val="24"/>
                <w:lang w:val="en-US"/>
              </w:rPr>
            </w:pPr>
            <w:r w:rsidRPr="000B42AE">
              <w:rPr>
                <w:rFonts w:ascii="Cambria" w:hAnsi="Cambria"/>
                <w:sz w:val="24"/>
                <w:szCs w:val="24"/>
                <w:lang w:val="en-US"/>
              </w:rPr>
              <w:t>Endang Pinta Utami</w:t>
            </w:r>
          </w:p>
          <w:p w14:paraId="4ACDDD7A" w14:textId="77777777" w:rsidR="005B30FC" w:rsidRPr="000B42AE" w:rsidRDefault="005B30FC" w:rsidP="006F4D01">
            <w:pPr>
              <w:spacing w:line="276" w:lineRule="auto"/>
              <w:ind w:right="558"/>
              <w:jc w:val="both"/>
              <w:rPr>
                <w:rFonts w:ascii="Cambria" w:hAnsi="Cambria" w:cs="Arial"/>
                <w:sz w:val="24"/>
                <w:szCs w:val="24"/>
                <w:lang w:val="en-US"/>
              </w:rPr>
            </w:pPr>
          </w:p>
          <w:p w14:paraId="56B66517" w14:textId="77777777" w:rsidR="005B30FC" w:rsidRPr="000B42AE" w:rsidRDefault="005B30FC" w:rsidP="006F4D01">
            <w:pPr>
              <w:spacing w:line="276" w:lineRule="auto"/>
              <w:ind w:right="558"/>
              <w:jc w:val="both"/>
              <w:rPr>
                <w:rFonts w:ascii="Cambria" w:hAnsi="Cambria" w:cs="Arial"/>
                <w:b/>
                <w:bCs/>
                <w:sz w:val="24"/>
                <w:szCs w:val="24"/>
                <w:lang w:val="en-US"/>
              </w:rPr>
            </w:pPr>
          </w:p>
          <w:p w14:paraId="2E51000B" w14:textId="77777777" w:rsidR="005B30FC" w:rsidRPr="000B42AE" w:rsidRDefault="005B30FC" w:rsidP="006F4D01">
            <w:pPr>
              <w:spacing w:line="276" w:lineRule="auto"/>
              <w:ind w:right="558"/>
              <w:jc w:val="both"/>
              <w:rPr>
                <w:rFonts w:ascii="Cambria" w:hAnsi="Cambria" w:cs="Arial"/>
                <w:sz w:val="24"/>
                <w:szCs w:val="24"/>
                <w:lang w:val="en-US"/>
              </w:rPr>
            </w:pPr>
            <w:r w:rsidRPr="000B42AE">
              <w:rPr>
                <w:rFonts w:ascii="Cambria" w:hAnsi="Cambria" w:cs="Arial"/>
                <w:b/>
                <w:bCs/>
                <w:sz w:val="24"/>
                <w:szCs w:val="24"/>
                <w:lang w:val="en-US"/>
              </w:rPr>
              <w:t>Email</w:t>
            </w:r>
            <w:r w:rsidRPr="000B42AE">
              <w:rPr>
                <w:rFonts w:ascii="Cambria" w:hAnsi="Cambria" w:cs="Arial"/>
                <w:sz w:val="24"/>
                <w:szCs w:val="24"/>
                <w:lang w:val="en-US"/>
              </w:rPr>
              <w:t>:</w:t>
            </w:r>
          </w:p>
          <w:p w14:paraId="747B73EB" w14:textId="14E5AB3E" w:rsidR="005B30FC" w:rsidRPr="000B42AE" w:rsidRDefault="000B42AE" w:rsidP="006F4D01">
            <w:pPr>
              <w:spacing w:line="276" w:lineRule="auto"/>
              <w:ind w:right="558"/>
              <w:jc w:val="both"/>
              <w:rPr>
                <w:rFonts w:ascii="Cambria" w:hAnsi="Cambria" w:cs="Arial"/>
                <w:sz w:val="24"/>
                <w:szCs w:val="24"/>
                <w:lang w:val="en-US"/>
              </w:rPr>
            </w:pPr>
            <w:r w:rsidRPr="000B42AE">
              <w:rPr>
                <w:rFonts w:ascii="Cambria" w:hAnsi="Cambria" w:cs="Arial"/>
                <w:sz w:val="24"/>
                <w:szCs w:val="24"/>
                <w:lang w:val="en-US"/>
              </w:rPr>
              <w:t>endangpinta@gmail.com</w:t>
            </w:r>
          </w:p>
          <w:p w14:paraId="3F1AFAFA" w14:textId="77777777" w:rsidR="005B30FC" w:rsidRPr="000B42AE" w:rsidRDefault="005B30FC" w:rsidP="006F4D01">
            <w:pPr>
              <w:spacing w:line="276" w:lineRule="auto"/>
              <w:jc w:val="both"/>
              <w:rPr>
                <w:rFonts w:ascii="Cambria" w:hAnsi="Cambria" w:cs="Arial"/>
                <w:sz w:val="24"/>
                <w:szCs w:val="24"/>
                <w:lang w:val="en-US"/>
              </w:rPr>
            </w:pPr>
          </w:p>
          <w:p w14:paraId="091B255C" w14:textId="77777777" w:rsidR="005B30FC" w:rsidRPr="000B42AE" w:rsidRDefault="005B30FC" w:rsidP="006F4D01">
            <w:pPr>
              <w:spacing w:line="276" w:lineRule="auto"/>
              <w:jc w:val="both"/>
              <w:rPr>
                <w:rFonts w:ascii="Cambria" w:hAnsi="Cambria" w:cs="Arial"/>
                <w:sz w:val="24"/>
                <w:szCs w:val="24"/>
                <w:lang w:val="en-US"/>
              </w:rPr>
            </w:pPr>
          </w:p>
          <w:p w14:paraId="7174FA68" w14:textId="77777777" w:rsidR="005B30FC" w:rsidRPr="000B42AE" w:rsidRDefault="005B30FC" w:rsidP="006F4D01">
            <w:pPr>
              <w:spacing w:line="276" w:lineRule="auto"/>
              <w:jc w:val="both"/>
              <w:rPr>
                <w:rFonts w:ascii="Cambria" w:hAnsi="Cambria" w:cs="Arial"/>
                <w:sz w:val="24"/>
                <w:szCs w:val="24"/>
                <w:lang w:val="en-US"/>
              </w:rPr>
            </w:pPr>
            <w:r w:rsidRPr="000B42AE">
              <w:rPr>
                <w:rFonts w:ascii="Cambria" w:hAnsi="Cambria" w:cs="Arial"/>
                <w:sz w:val="24"/>
                <w:szCs w:val="24"/>
                <w:lang w:val="en-US"/>
              </w:rPr>
              <w:t>DOI:</w:t>
            </w:r>
          </w:p>
          <w:p w14:paraId="2FB76CA1" w14:textId="77777777" w:rsidR="005B30FC" w:rsidRPr="0081151B" w:rsidRDefault="005B30FC" w:rsidP="006F4D01">
            <w:pPr>
              <w:spacing w:line="276" w:lineRule="auto"/>
              <w:jc w:val="both"/>
              <w:rPr>
                <w:rFonts w:ascii="Times New Roman" w:hAnsi="Times New Roman"/>
                <w:lang w:val="en-US"/>
              </w:rPr>
            </w:pPr>
          </w:p>
          <w:p w14:paraId="2ACF3847" w14:textId="77777777" w:rsidR="005B30FC" w:rsidRPr="0081151B" w:rsidRDefault="005B30FC" w:rsidP="006F4D01">
            <w:pPr>
              <w:spacing w:line="276" w:lineRule="auto"/>
              <w:jc w:val="both"/>
              <w:rPr>
                <w:rFonts w:ascii="Times New Roman" w:hAnsi="Times New Roman"/>
                <w:lang w:val="en-US"/>
              </w:rPr>
            </w:pPr>
          </w:p>
          <w:p w14:paraId="6AAEC2D3" w14:textId="77777777" w:rsidR="005B30FC" w:rsidRPr="0081151B" w:rsidRDefault="005B30FC" w:rsidP="006F4D01">
            <w:pPr>
              <w:spacing w:line="276" w:lineRule="auto"/>
              <w:rPr>
                <w:rFonts w:ascii="Times New Roman" w:hAnsi="Times New Roman"/>
                <w:lang w:val="en-US"/>
              </w:rPr>
            </w:pPr>
            <w:r w:rsidRPr="0081151B">
              <w:rPr>
                <w:rFonts w:ascii="Times New Roman" w:hAnsi="Times New Roman"/>
                <w:noProof/>
                <w:lang w:val="en-US"/>
              </w:rPr>
              <w:drawing>
                <wp:inline distT="0" distB="0" distL="0" distR="0" wp14:anchorId="4D74F9FC" wp14:editId="1BA71084">
                  <wp:extent cx="838200" cy="295275"/>
                  <wp:effectExtent l="0" t="0" r="0" b="9525"/>
                  <wp:docPr id="142444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8DB8040" w14:textId="77777777" w:rsidR="005B30FC" w:rsidRPr="0081151B" w:rsidRDefault="005B30FC" w:rsidP="006F4D01">
            <w:pPr>
              <w:spacing w:line="276" w:lineRule="auto"/>
              <w:jc w:val="both"/>
              <w:rPr>
                <w:rFonts w:ascii="Times New Roman" w:hAnsi="Times New Roman"/>
                <w:noProof/>
                <w:lang w:val="en-US"/>
              </w:rPr>
            </w:pPr>
          </w:p>
        </w:tc>
        <w:tc>
          <w:tcPr>
            <w:tcW w:w="283" w:type="dxa"/>
            <w:vMerge/>
            <w:tcBorders>
              <w:left w:val="single" w:sz="4" w:space="0" w:color="auto"/>
            </w:tcBorders>
          </w:tcPr>
          <w:p w14:paraId="57D3DD9B" w14:textId="77777777" w:rsidR="005B30FC" w:rsidRPr="0081151B" w:rsidRDefault="005B30FC" w:rsidP="006F4D01">
            <w:pPr>
              <w:spacing w:after="240" w:line="276" w:lineRule="auto"/>
              <w:rPr>
                <w:rFonts w:ascii="Arial" w:hAnsi="Arial"/>
                <w:bCs/>
                <w:sz w:val="18"/>
                <w:szCs w:val="12"/>
                <w:lang w:val="en-US"/>
              </w:rPr>
            </w:pPr>
          </w:p>
        </w:tc>
        <w:tc>
          <w:tcPr>
            <w:tcW w:w="6946" w:type="dxa"/>
            <w:vMerge/>
            <w:tcBorders>
              <w:left w:val="nil"/>
            </w:tcBorders>
          </w:tcPr>
          <w:p w14:paraId="75E972A6" w14:textId="77777777" w:rsidR="005B30FC" w:rsidRPr="0081151B" w:rsidRDefault="005B30FC" w:rsidP="006F4D01">
            <w:pPr>
              <w:pBdr>
                <w:top w:val="single" w:sz="12" w:space="4" w:color="auto"/>
                <w:bottom w:val="single" w:sz="12" w:space="4" w:color="auto"/>
              </w:pBdr>
              <w:spacing w:after="240" w:line="276" w:lineRule="auto"/>
              <w:rPr>
                <w:rFonts w:ascii="Arial" w:hAnsi="Arial"/>
                <w:b/>
                <w:sz w:val="28"/>
                <w:lang w:val="en-US"/>
              </w:rPr>
            </w:pPr>
          </w:p>
        </w:tc>
      </w:tr>
    </w:tbl>
    <w:p w14:paraId="3B9C0970" w14:textId="77777777" w:rsidR="0078343B" w:rsidRDefault="0078343B" w:rsidP="00966744">
      <w:pPr>
        <w:spacing w:after="120" w:line="276" w:lineRule="auto"/>
        <w:ind w:firstLine="301"/>
        <w:jc w:val="both"/>
        <w:rPr>
          <w:rFonts w:ascii="Arial" w:hAnsi="Arial" w:cs="Arial"/>
          <w:sz w:val="20"/>
          <w:szCs w:val="20"/>
          <w:lang w:val="en-US"/>
        </w:rPr>
      </w:pPr>
    </w:p>
    <w:p w14:paraId="11DFA2A8" w14:textId="3B0D9D4F" w:rsidR="0078343B" w:rsidRPr="001D735D" w:rsidRDefault="0078343B" w:rsidP="001D735D">
      <w:pPr>
        <w:pStyle w:val="ListParagraph"/>
        <w:keepNext/>
        <w:numPr>
          <w:ilvl w:val="0"/>
          <w:numId w:val="11"/>
        </w:numPr>
        <w:tabs>
          <w:tab w:val="left" w:pos="142"/>
        </w:tabs>
        <w:spacing w:before="480" w:line="276" w:lineRule="auto"/>
        <w:ind w:left="426" w:hanging="426"/>
        <w:rPr>
          <w:rFonts w:ascii="Cambria" w:hAnsi="Cambria" w:cs="Arial"/>
          <w:b/>
          <w:sz w:val="24"/>
          <w:szCs w:val="24"/>
          <w:lang w:val="en-US"/>
        </w:rPr>
      </w:pPr>
      <w:r w:rsidRPr="001D735D">
        <w:rPr>
          <w:rFonts w:ascii="Cambria" w:hAnsi="Cambria" w:cs="Arial"/>
          <w:b/>
          <w:sz w:val="24"/>
          <w:szCs w:val="24"/>
          <w:lang w:val="en-US"/>
        </w:rPr>
        <w:lastRenderedPageBreak/>
        <w:t xml:space="preserve">Introduction </w:t>
      </w:r>
    </w:p>
    <w:p w14:paraId="13C54473" w14:textId="4B6FC752" w:rsidR="0078343B" w:rsidRPr="001D735D" w:rsidRDefault="0078343B" w:rsidP="001D735D">
      <w:pPr>
        <w:spacing w:after="120" w:line="276" w:lineRule="auto"/>
        <w:ind w:firstLine="426"/>
        <w:jc w:val="both"/>
        <w:rPr>
          <w:rFonts w:ascii="Cambria" w:hAnsi="Cambria" w:cs="Arial"/>
          <w:sz w:val="24"/>
          <w:szCs w:val="24"/>
          <w:lang w:val="en-US"/>
        </w:rPr>
      </w:pPr>
      <w:r w:rsidRPr="001D735D">
        <w:rPr>
          <w:rFonts w:ascii="Cambria" w:hAnsi="Cambria" w:cs="Arial"/>
          <w:sz w:val="24"/>
          <w:szCs w:val="24"/>
          <w:lang w:val="en-US"/>
        </w:rPr>
        <w:t>In Indonesia, stunting is a widespread public health issue that impacts children's cognitive development and future productivity in addition to their physical growth (De Onis et al., 2019). About 27.5% of children under five in Indonesia suffer from stunting, indicating that the condition is still very common there (</w:t>
      </w:r>
      <w:proofErr w:type="spellStart"/>
      <w:r w:rsidRPr="001D735D">
        <w:rPr>
          <w:rFonts w:ascii="Cambria" w:hAnsi="Cambria" w:cs="Arial"/>
          <w:sz w:val="24"/>
          <w:szCs w:val="24"/>
          <w:lang w:val="en-US"/>
        </w:rPr>
        <w:t>Riskesdas</w:t>
      </w:r>
      <w:proofErr w:type="spellEnd"/>
      <w:r w:rsidRPr="001D735D">
        <w:rPr>
          <w:rFonts w:ascii="Cambria" w:hAnsi="Cambria" w:cs="Arial"/>
          <w:sz w:val="24"/>
          <w:szCs w:val="24"/>
          <w:lang w:val="en-US"/>
        </w:rPr>
        <w:t>, 2018). Finding the underlying causes of stunting is crucial to finding a solution to this problem. Using panel data from 34 provinces for the 2020–2023 period, this study intends to explore the impact of early marriage, the gender inequality index, the community development index, and information and communication technologies on the incidence of stunting in Indonesia.</w:t>
      </w:r>
    </w:p>
    <w:p w14:paraId="3F6CDB7D" w14:textId="6C22F2B0" w:rsidR="006250CA" w:rsidRPr="001D735D" w:rsidRDefault="00966744" w:rsidP="001D735D">
      <w:pPr>
        <w:spacing w:after="120" w:line="276" w:lineRule="auto"/>
        <w:ind w:firstLine="426"/>
        <w:jc w:val="both"/>
        <w:rPr>
          <w:rFonts w:ascii="Cambria" w:hAnsi="Cambria" w:cs="Arial"/>
          <w:sz w:val="24"/>
          <w:szCs w:val="24"/>
          <w:lang w:val="en-US"/>
        </w:rPr>
      </w:pPr>
      <w:r w:rsidRPr="001D735D">
        <w:rPr>
          <w:rFonts w:ascii="Cambria" w:hAnsi="Cambria" w:cs="Arial"/>
          <w:sz w:val="24"/>
          <w:szCs w:val="24"/>
          <w:lang w:val="en-US"/>
        </w:rPr>
        <w:t>Early marriage frequently results in inadequate nutrition and subpar medical care for children, as previous research has demonstrated, making it a significant predictor of stunting (</w:t>
      </w:r>
      <w:proofErr w:type="spellStart"/>
      <w:r w:rsidRPr="001D735D">
        <w:rPr>
          <w:rFonts w:ascii="Cambria" w:hAnsi="Cambria" w:cs="Arial"/>
          <w:sz w:val="24"/>
          <w:szCs w:val="24"/>
          <w:lang w:val="en-US"/>
        </w:rPr>
        <w:t>Ratnaningsih</w:t>
      </w:r>
      <w:proofErr w:type="spellEnd"/>
      <w:r w:rsidRPr="001D735D">
        <w:rPr>
          <w:rFonts w:ascii="Cambria" w:hAnsi="Cambria" w:cs="Arial"/>
          <w:sz w:val="24"/>
          <w:szCs w:val="24"/>
          <w:lang w:val="en-US"/>
        </w:rPr>
        <w:t xml:space="preserve"> et al., 2020). Furthermore, Hidayat et al. (2019) suggest that the community development index, which takes into account a range of factors related to community well-being, might also be a significant factor in determining the prevalence of stunting. Due to its potential to affect access to health information and services, information and communication technology use may also have an impact on stunting (Kumar et al., 2020). Additionally, the distribution of opportunities and resources can be impacted by gender inequality, which is frequently reflected in the gender inequality index. This can result in differences in health outcomes, such as stunting (Goli et al.,2019).</w:t>
      </w:r>
    </w:p>
    <w:p w14:paraId="593F3692" w14:textId="77777777" w:rsidR="00966744" w:rsidRPr="001D735D" w:rsidRDefault="00966744" w:rsidP="001D735D">
      <w:pPr>
        <w:spacing w:after="120" w:line="276" w:lineRule="auto"/>
        <w:ind w:firstLine="426"/>
        <w:jc w:val="both"/>
        <w:rPr>
          <w:rFonts w:ascii="Cambria" w:hAnsi="Cambria" w:cs="Arial"/>
          <w:sz w:val="24"/>
          <w:szCs w:val="24"/>
          <w:lang w:val="en-US"/>
        </w:rPr>
      </w:pPr>
    </w:p>
    <w:p w14:paraId="3A3ADB7F" w14:textId="501124FB" w:rsidR="006250CA" w:rsidRPr="0073782C" w:rsidRDefault="00BA217D" w:rsidP="0073782C">
      <w:pPr>
        <w:pStyle w:val="ListParagraph"/>
        <w:numPr>
          <w:ilvl w:val="0"/>
          <w:numId w:val="11"/>
        </w:numPr>
        <w:spacing w:after="0" w:line="276" w:lineRule="auto"/>
        <w:ind w:left="426" w:hanging="426"/>
        <w:rPr>
          <w:rFonts w:ascii="Cambria" w:eastAsia="Times New Roman" w:hAnsi="Cambria" w:cs="Arial"/>
          <w:b/>
          <w:bCs/>
          <w:kern w:val="0"/>
          <w:sz w:val="24"/>
          <w:szCs w:val="24"/>
          <w:lang w:val="en-US"/>
          <w14:ligatures w14:val="none"/>
        </w:rPr>
      </w:pPr>
      <w:bookmarkStart w:id="0" w:name="_Hlk148786656"/>
      <w:r w:rsidRPr="0073782C">
        <w:rPr>
          <w:rFonts w:ascii="Cambria" w:eastAsia="Times New Roman" w:hAnsi="Cambria" w:cs="Arial"/>
          <w:b/>
          <w:bCs/>
          <w:kern w:val="0"/>
          <w:sz w:val="24"/>
          <w:szCs w:val="24"/>
          <w:lang w:val="en-US"/>
          <w14:ligatures w14:val="none"/>
        </w:rPr>
        <w:t xml:space="preserve">Literature Review </w:t>
      </w:r>
    </w:p>
    <w:p w14:paraId="2D0961E4" w14:textId="77777777" w:rsidR="00966744" w:rsidRPr="001D735D" w:rsidRDefault="00966744" w:rsidP="001D735D">
      <w:pPr>
        <w:spacing w:after="0" w:line="276" w:lineRule="auto"/>
        <w:ind w:firstLine="426"/>
        <w:rPr>
          <w:rFonts w:ascii="Cambria" w:eastAsia="Times New Roman" w:hAnsi="Cambria" w:cs="Arial"/>
          <w:b/>
          <w:bCs/>
          <w:kern w:val="0"/>
          <w:sz w:val="24"/>
          <w:szCs w:val="24"/>
          <w:lang w:val="en-US"/>
          <w14:ligatures w14:val="none"/>
        </w:rPr>
      </w:pPr>
    </w:p>
    <w:p w14:paraId="16ACC413" w14:textId="5868E61F" w:rsidR="00966744" w:rsidRPr="001D735D" w:rsidRDefault="00966744" w:rsidP="001D735D">
      <w:pPr>
        <w:spacing w:after="120" w:line="276" w:lineRule="auto"/>
        <w:ind w:firstLine="426"/>
        <w:jc w:val="both"/>
        <w:rPr>
          <w:rFonts w:ascii="Cambria" w:hAnsi="Cambria" w:cs="Arial"/>
          <w:sz w:val="24"/>
          <w:szCs w:val="24"/>
        </w:rPr>
      </w:pPr>
      <w:r w:rsidRPr="001D735D">
        <w:rPr>
          <w:rFonts w:ascii="Cambria" w:hAnsi="Cambria" w:cs="Arial"/>
          <w:sz w:val="24"/>
          <w:szCs w:val="24"/>
        </w:rPr>
        <w:t>It has been demonstrated that a key factor in determining the prevalence of stunting</w:t>
      </w:r>
      <w:r w:rsidR="006A33E4">
        <w:rPr>
          <w:rFonts w:ascii="Cambria" w:hAnsi="Cambria" w:cs="Arial"/>
          <w:sz w:val="24"/>
          <w:szCs w:val="24"/>
        </w:rPr>
        <w:t xml:space="preserve"> </w:t>
      </w:r>
      <w:r w:rsidRPr="001D735D">
        <w:rPr>
          <w:rFonts w:ascii="Cambria" w:hAnsi="Cambria" w:cs="Arial"/>
          <w:sz w:val="24"/>
          <w:szCs w:val="24"/>
        </w:rPr>
        <w:t>is the human development index, which takes into account many factors related to</w:t>
      </w:r>
      <w:r w:rsidR="006A33E4">
        <w:rPr>
          <w:rFonts w:ascii="Cambria" w:hAnsi="Cambria" w:cs="Arial"/>
          <w:sz w:val="24"/>
          <w:szCs w:val="24"/>
        </w:rPr>
        <w:t xml:space="preserve"> </w:t>
      </w:r>
      <w:r w:rsidRPr="001D735D">
        <w:rPr>
          <w:rFonts w:ascii="Cambria" w:hAnsi="Cambria" w:cs="Arial"/>
          <w:sz w:val="24"/>
          <w:szCs w:val="24"/>
        </w:rPr>
        <w:t>community well-being. According to a study by Hidayat et al. (2019), stunting is</w:t>
      </w:r>
      <w:r w:rsidR="006A33E4">
        <w:rPr>
          <w:rFonts w:ascii="Cambria" w:hAnsi="Cambria" w:cs="Arial"/>
          <w:sz w:val="24"/>
          <w:szCs w:val="24"/>
        </w:rPr>
        <w:t xml:space="preserve"> </w:t>
      </w:r>
      <w:r w:rsidRPr="001D735D">
        <w:rPr>
          <w:rFonts w:ascii="Cambria" w:hAnsi="Cambria" w:cs="Arial"/>
          <w:sz w:val="24"/>
          <w:szCs w:val="24"/>
        </w:rPr>
        <w:t xml:space="preserve">positively correlated with health outcomes, including community development.  According to a different study by </w:t>
      </w:r>
      <w:proofErr w:type="spellStart"/>
      <w:r w:rsidRPr="001D735D">
        <w:rPr>
          <w:rFonts w:ascii="Cambria" w:hAnsi="Cambria" w:cs="Arial"/>
          <w:sz w:val="24"/>
          <w:szCs w:val="24"/>
        </w:rPr>
        <w:t>Suryahadi</w:t>
      </w:r>
      <w:proofErr w:type="spellEnd"/>
      <w:r w:rsidRPr="001D735D">
        <w:rPr>
          <w:rFonts w:ascii="Cambria" w:hAnsi="Cambria" w:cs="Arial"/>
          <w:sz w:val="24"/>
          <w:szCs w:val="24"/>
        </w:rPr>
        <w:t xml:space="preserve"> et al. (2018), human development initiatives</w:t>
      </w:r>
      <w:r w:rsidR="006A33E4">
        <w:rPr>
          <w:rFonts w:ascii="Cambria" w:hAnsi="Cambria" w:cs="Arial"/>
          <w:sz w:val="24"/>
          <w:szCs w:val="24"/>
        </w:rPr>
        <w:t xml:space="preserve"> </w:t>
      </w:r>
      <w:r w:rsidRPr="001D735D">
        <w:rPr>
          <w:rFonts w:ascii="Cambria" w:hAnsi="Cambria" w:cs="Arial"/>
          <w:sz w:val="24"/>
          <w:szCs w:val="24"/>
        </w:rPr>
        <w:t>can lessen stunting by increasing access to food and medical care. </w:t>
      </w:r>
    </w:p>
    <w:p w14:paraId="7CEAD62E" w14:textId="23A2788E" w:rsidR="00966744" w:rsidRPr="001D735D" w:rsidRDefault="00966744" w:rsidP="001D735D">
      <w:pPr>
        <w:spacing w:after="120" w:line="276" w:lineRule="auto"/>
        <w:ind w:firstLine="426"/>
        <w:jc w:val="both"/>
        <w:rPr>
          <w:rFonts w:ascii="Cambria" w:hAnsi="Cambria" w:cs="Arial"/>
          <w:sz w:val="24"/>
          <w:szCs w:val="24"/>
        </w:rPr>
      </w:pPr>
      <w:r w:rsidRPr="001D735D">
        <w:rPr>
          <w:rFonts w:ascii="Cambria" w:hAnsi="Cambria" w:cs="Arial"/>
          <w:sz w:val="24"/>
          <w:szCs w:val="24"/>
        </w:rPr>
        <w:t xml:space="preserve">Early marriage has been identified as a significant predictor of stunting. A study by  </w:t>
      </w:r>
      <w:proofErr w:type="spellStart"/>
      <w:r w:rsidRPr="001D735D">
        <w:rPr>
          <w:rFonts w:ascii="Cambria" w:hAnsi="Cambria" w:cs="Arial"/>
          <w:sz w:val="24"/>
          <w:szCs w:val="24"/>
        </w:rPr>
        <w:t>Ratnaningsih</w:t>
      </w:r>
      <w:proofErr w:type="spellEnd"/>
      <w:r w:rsidRPr="001D735D">
        <w:rPr>
          <w:rFonts w:ascii="Cambria" w:hAnsi="Cambria" w:cs="Arial"/>
          <w:sz w:val="24"/>
          <w:szCs w:val="24"/>
        </w:rPr>
        <w:t xml:space="preserve"> et al. (2020) found that early marriage is associated with inadequate</w:t>
      </w:r>
      <w:r w:rsidR="006A33E4">
        <w:rPr>
          <w:rFonts w:ascii="Cambria" w:hAnsi="Cambria" w:cs="Arial"/>
          <w:sz w:val="24"/>
          <w:szCs w:val="24"/>
        </w:rPr>
        <w:t xml:space="preserve"> </w:t>
      </w:r>
      <w:r w:rsidRPr="001D735D">
        <w:rPr>
          <w:rFonts w:ascii="Cambria" w:hAnsi="Cambria" w:cs="Arial"/>
          <w:sz w:val="24"/>
          <w:szCs w:val="24"/>
        </w:rPr>
        <w:t>nutrition and poor health care for children, leading to stunting. Another study by Santhya</w:t>
      </w:r>
      <w:r w:rsidR="006A33E4">
        <w:rPr>
          <w:rFonts w:ascii="Cambria" w:hAnsi="Cambria" w:cs="Arial"/>
          <w:sz w:val="24"/>
          <w:szCs w:val="24"/>
        </w:rPr>
        <w:t xml:space="preserve"> </w:t>
      </w:r>
      <w:r w:rsidRPr="001D735D">
        <w:rPr>
          <w:rFonts w:ascii="Cambria" w:hAnsi="Cambria" w:cs="Arial"/>
          <w:sz w:val="24"/>
          <w:szCs w:val="24"/>
        </w:rPr>
        <w:t>et al. (2019) found that early marriage is a significant predictor of stunting, particularly</w:t>
      </w:r>
      <w:r w:rsidR="006A33E4">
        <w:rPr>
          <w:rFonts w:ascii="Cambria" w:hAnsi="Cambria" w:cs="Arial"/>
          <w:sz w:val="24"/>
          <w:szCs w:val="24"/>
        </w:rPr>
        <w:t xml:space="preserve"> </w:t>
      </w:r>
      <w:r w:rsidRPr="001D735D">
        <w:rPr>
          <w:rFonts w:ascii="Cambria" w:hAnsi="Cambria" w:cs="Arial"/>
          <w:sz w:val="24"/>
          <w:szCs w:val="24"/>
        </w:rPr>
        <w:t>in rural areas. </w:t>
      </w:r>
    </w:p>
    <w:p w14:paraId="62099CF7" w14:textId="72A4CD35" w:rsidR="00966744" w:rsidRPr="001D735D" w:rsidRDefault="00966744" w:rsidP="001D735D">
      <w:pPr>
        <w:spacing w:after="120" w:line="276" w:lineRule="auto"/>
        <w:ind w:firstLine="426"/>
        <w:jc w:val="both"/>
        <w:rPr>
          <w:rFonts w:ascii="Cambria" w:hAnsi="Cambria" w:cs="Arial"/>
          <w:sz w:val="24"/>
          <w:szCs w:val="24"/>
        </w:rPr>
      </w:pPr>
      <w:r w:rsidRPr="001D735D">
        <w:rPr>
          <w:rFonts w:ascii="Cambria" w:hAnsi="Cambria" w:cs="Arial"/>
          <w:sz w:val="24"/>
          <w:szCs w:val="24"/>
        </w:rPr>
        <w:t>The use of information and communication technology (ICT) can also impact</w:t>
      </w:r>
      <w:r w:rsidR="006A33E4">
        <w:rPr>
          <w:rFonts w:ascii="Cambria" w:hAnsi="Cambria" w:cs="Arial"/>
          <w:sz w:val="24"/>
          <w:szCs w:val="24"/>
        </w:rPr>
        <w:t xml:space="preserve"> </w:t>
      </w:r>
      <w:r w:rsidRPr="001D735D">
        <w:rPr>
          <w:rFonts w:ascii="Cambria" w:hAnsi="Cambria" w:cs="Arial"/>
          <w:sz w:val="24"/>
          <w:szCs w:val="24"/>
        </w:rPr>
        <w:t>stunting. A study by Kumar et al. (2020) found that ICT can improve access to health</w:t>
      </w:r>
      <w:r w:rsidR="006A33E4">
        <w:rPr>
          <w:rFonts w:ascii="Cambria" w:hAnsi="Cambria" w:cs="Arial"/>
          <w:sz w:val="24"/>
          <w:szCs w:val="24"/>
        </w:rPr>
        <w:t xml:space="preserve"> </w:t>
      </w:r>
      <w:r w:rsidRPr="001D735D">
        <w:rPr>
          <w:rFonts w:ascii="Cambria" w:hAnsi="Cambria" w:cs="Arial"/>
          <w:sz w:val="24"/>
          <w:szCs w:val="24"/>
        </w:rPr>
        <w:t xml:space="preserve">information and services, leading to better health outcomes, including reduced </w:t>
      </w:r>
      <w:r w:rsidRPr="001D735D">
        <w:rPr>
          <w:rFonts w:ascii="Cambria" w:hAnsi="Cambria" w:cs="Arial"/>
          <w:sz w:val="24"/>
          <w:szCs w:val="24"/>
        </w:rPr>
        <w:lastRenderedPageBreak/>
        <w:t xml:space="preserve">stunting.  Another study by Wulandari et al. (2019) found that ICT-based interventions can improve nutrition and health outcomes, reducing the incidence of stunting. </w:t>
      </w:r>
    </w:p>
    <w:p w14:paraId="164BF670" w14:textId="234D4919" w:rsidR="00966744" w:rsidRPr="001D735D" w:rsidRDefault="00966744" w:rsidP="001D735D">
      <w:pPr>
        <w:spacing w:after="120" w:line="276" w:lineRule="auto"/>
        <w:ind w:firstLine="426"/>
        <w:jc w:val="both"/>
        <w:rPr>
          <w:rFonts w:ascii="Cambria" w:hAnsi="Cambria" w:cs="Arial"/>
          <w:sz w:val="24"/>
          <w:szCs w:val="24"/>
        </w:rPr>
      </w:pPr>
      <w:r w:rsidRPr="001D735D">
        <w:rPr>
          <w:rFonts w:ascii="Cambria" w:hAnsi="Cambria" w:cs="Arial"/>
          <w:sz w:val="24"/>
          <w:szCs w:val="24"/>
        </w:rPr>
        <w:t>Gender inequality, which is often reflected in the gender inequality index, can affect the allocation of resources and opportunities, leading to disparities in health outcomes, including stunting. A study by Goli et al. (2019) found that gender inequality is associated with poor health outcomes, including stunting. Another study by Klasen et al. (2019)  found that reducing gender inequality can improve health outcomes, including reduced stunting.</w:t>
      </w:r>
    </w:p>
    <w:p w14:paraId="7B39DB35" w14:textId="77777777" w:rsidR="00966744" w:rsidRPr="0073782C" w:rsidRDefault="00966744" w:rsidP="00966744">
      <w:pPr>
        <w:spacing w:after="120" w:line="276" w:lineRule="auto"/>
        <w:ind w:left="142" w:firstLine="284"/>
        <w:jc w:val="center"/>
        <w:rPr>
          <w:rFonts w:ascii="Cambria" w:hAnsi="Cambria" w:cs="Arial"/>
          <w:i/>
          <w:iCs/>
          <w:sz w:val="24"/>
          <w:szCs w:val="24"/>
        </w:rPr>
      </w:pPr>
      <w:r w:rsidRPr="0073782C">
        <w:rPr>
          <w:rFonts w:ascii="Cambria" w:hAnsi="Cambria" w:cs="Arial"/>
          <w:i/>
          <w:iCs/>
          <w:sz w:val="24"/>
          <w:szCs w:val="24"/>
        </w:rPr>
        <w:t xml:space="preserve">Picture 1. Output </w:t>
      </w:r>
      <w:proofErr w:type="spellStart"/>
      <w:r w:rsidRPr="0073782C">
        <w:rPr>
          <w:rFonts w:ascii="Cambria" w:hAnsi="Cambria" w:cs="Arial"/>
          <w:i/>
          <w:iCs/>
          <w:sz w:val="24"/>
          <w:szCs w:val="24"/>
        </w:rPr>
        <w:t>Vosviewer</w:t>
      </w:r>
      <w:proofErr w:type="spellEnd"/>
    </w:p>
    <w:p w14:paraId="1F8C7153" w14:textId="6C9E1922" w:rsidR="00966744" w:rsidRPr="001D735D" w:rsidRDefault="00966744" w:rsidP="00966744">
      <w:pPr>
        <w:spacing w:after="120" w:line="276" w:lineRule="auto"/>
        <w:ind w:left="142" w:firstLine="284"/>
        <w:jc w:val="center"/>
        <w:rPr>
          <w:rFonts w:ascii="Cambria" w:hAnsi="Cambria" w:cs="Arial"/>
          <w:sz w:val="24"/>
          <w:szCs w:val="24"/>
        </w:rPr>
      </w:pPr>
      <w:r w:rsidRPr="001D735D">
        <w:rPr>
          <w:rFonts w:ascii="Cambria" w:hAnsi="Cambria" w:cs="Arial"/>
          <w:noProof/>
          <w:sz w:val="24"/>
          <w:szCs w:val="24"/>
          <w:lang w:val="en-US"/>
        </w:rPr>
        <w:drawing>
          <wp:inline distT="0" distB="0" distL="0" distR="0" wp14:anchorId="4251E1FE" wp14:editId="5432F168">
            <wp:extent cx="2977116" cy="2195039"/>
            <wp:effectExtent l="0" t="0" r="0" b="0"/>
            <wp:docPr id="209372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1007" cy="2212654"/>
                    </a:xfrm>
                    <a:prstGeom prst="rect">
                      <a:avLst/>
                    </a:prstGeom>
                    <a:noFill/>
                    <a:ln>
                      <a:noFill/>
                    </a:ln>
                  </pic:spPr>
                </pic:pic>
              </a:graphicData>
            </a:graphic>
          </wp:inline>
        </w:drawing>
      </w:r>
    </w:p>
    <w:p w14:paraId="2543A8C9" w14:textId="0409B762" w:rsidR="00966744" w:rsidRPr="001D735D" w:rsidRDefault="006A33E4" w:rsidP="00966744">
      <w:pPr>
        <w:spacing w:after="120" w:line="276" w:lineRule="auto"/>
        <w:ind w:left="142" w:firstLine="284"/>
        <w:jc w:val="center"/>
        <w:rPr>
          <w:rFonts w:ascii="Cambria" w:hAnsi="Cambria" w:cs="Arial"/>
          <w:sz w:val="24"/>
          <w:szCs w:val="24"/>
        </w:rPr>
      </w:pPr>
      <w:r>
        <w:rPr>
          <w:rFonts w:ascii="Cambria" w:hAnsi="Cambria" w:cs="Arial"/>
          <w:i/>
          <w:iCs/>
          <w:sz w:val="24"/>
          <w:szCs w:val="24"/>
        </w:rPr>
        <w:t>S</w:t>
      </w:r>
      <w:r w:rsidR="00966744" w:rsidRPr="001D735D">
        <w:rPr>
          <w:rFonts w:ascii="Cambria" w:hAnsi="Cambria" w:cs="Arial"/>
          <w:i/>
          <w:iCs/>
          <w:sz w:val="24"/>
          <w:szCs w:val="24"/>
        </w:rPr>
        <w:t xml:space="preserve">ource: </w:t>
      </w:r>
      <w:proofErr w:type="spellStart"/>
      <w:r>
        <w:rPr>
          <w:rFonts w:ascii="Cambria" w:hAnsi="Cambria" w:cs="Arial"/>
          <w:i/>
          <w:iCs/>
          <w:sz w:val="24"/>
          <w:szCs w:val="24"/>
        </w:rPr>
        <w:t>V</w:t>
      </w:r>
      <w:r w:rsidR="00966744" w:rsidRPr="001D735D">
        <w:rPr>
          <w:rFonts w:ascii="Cambria" w:hAnsi="Cambria" w:cs="Arial"/>
          <w:i/>
          <w:iCs/>
          <w:sz w:val="24"/>
          <w:szCs w:val="24"/>
        </w:rPr>
        <w:t>osviewer</w:t>
      </w:r>
      <w:proofErr w:type="spellEnd"/>
    </w:p>
    <w:p w14:paraId="69941EE9" w14:textId="45A61BA1" w:rsidR="005D66D2" w:rsidRPr="001D735D" w:rsidRDefault="005D66D2" w:rsidP="0073782C">
      <w:pPr>
        <w:spacing w:after="120" w:line="276" w:lineRule="auto"/>
        <w:ind w:firstLine="426"/>
        <w:jc w:val="both"/>
        <w:rPr>
          <w:rFonts w:ascii="Cambria" w:hAnsi="Cambria" w:cs="Arial"/>
          <w:sz w:val="24"/>
          <w:szCs w:val="24"/>
        </w:rPr>
      </w:pPr>
      <w:r w:rsidRPr="001D735D">
        <w:rPr>
          <w:rFonts w:ascii="Cambria" w:hAnsi="Cambria" w:cs="Arial"/>
          <w:sz w:val="24"/>
          <w:szCs w:val="24"/>
        </w:rPr>
        <w:t>Existing literature often focuses on single or limited factors affecting stunting, such</w:t>
      </w:r>
      <w:r w:rsidR="006A33E4">
        <w:rPr>
          <w:rFonts w:ascii="Cambria" w:hAnsi="Cambria" w:cs="Arial"/>
          <w:sz w:val="24"/>
          <w:szCs w:val="24"/>
        </w:rPr>
        <w:t xml:space="preserve"> </w:t>
      </w:r>
      <w:r w:rsidRPr="001D735D">
        <w:rPr>
          <w:rFonts w:ascii="Cambria" w:hAnsi="Cambria" w:cs="Arial"/>
          <w:sz w:val="24"/>
          <w:szCs w:val="24"/>
        </w:rPr>
        <w:t>as economic status, maternal education, or healthcare access. However, there is a paucity</w:t>
      </w:r>
      <w:r w:rsidR="006A33E4">
        <w:rPr>
          <w:rFonts w:ascii="Cambria" w:hAnsi="Cambria" w:cs="Arial"/>
          <w:sz w:val="24"/>
          <w:szCs w:val="24"/>
        </w:rPr>
        <w:t xml:space="preserve"> </w:t>
      </w:r>
      <w:r w:rsidRPr="001D735D">
        <w:rPr>
          <w:rFonts w:ascii="Cambria" w:hAnsi="Cambria" w:cs="Arial"/>
          <w:sz w:val="24"/>
          <w:szCs w:val="24"/>
        </w:rPr>
        <w:t xml:space="preserve">of studies that comprehensively </w:t>
      </w:r>
      <w:proofErr w:type="spellStart"/>
      <w:r w:rsidRPr="001D735D">
        <w:rPr>
          <w:rFonts w:ascii="Cambria" w:hAnsi="Cambria" w:cs="Arial"/>
          <w:sz w:val="24"/>
          <w:szCs w:val="24"/>
        </w:rPr>
        <w:t>analyze</w:t>
      </w:r>
      <w:proofErr w:type="spellEnd"/>
      <w:r w:rsidRPr="001D735D">
        <w:rPr>
          <w:rFonts w:ascii="Cambria" w:hAnsi="Cambria" w:cs="Arial"/>
          <w:sz w:val="24"/>
          <w:szCs w:val="24"/>
        </w:rPr>
        <w:t xml:space="preserve"> the simultaneous impact of multidimensional</w:t>
      </w:r>
      <w:r w:rsidR="006A33E4">
        <w:rPr>
          <w:rFonts w:ascii="Cambria" w:hAnsi="Cambria" w:cs="Arial"/>
          <w:sz w:val="24"/>
          <w:szCs w:val="24"/>
        </w:rPr>
        <w:t xml:space="preserve"> </w:t>
      </w:r>
      <w:r w:rsidRPr="001D735D">
        <w:rPr>
          <w:rFonts w:ascii="Cambria" w:hAnsi="Cambria" w:cs="Arial"/>
          <w:sz w:val="24"/>
          <w:szCs w:val="24"/>
        </w:rPr>
        <w:t>factors, including HDI, early marriage, ICT, and GII, on stunting. Integrating these</w:t>
      </w:r>
      <w:r w:rsidR="006A33E4">
        <w:rPr>
          <w:rFonts w:ascii="Cambria" w:hAnsi="Cambria" w:cs="Arial"/>
          <w:sz w:val="24"/>
          <w:szCs w:val="24"/>
        </w:rPr>
        <w:t xml:space="preserve"> </w:t>
      </w:r>
      <w:r w:rsidRPr="001D735D">
        <w:rPr>
          <w:rFonts w:ascii="Cambria" w:hAnsi="Cambria" w:cs="Arial"/>
          <w:sz w:val="24"/>
          <w:szCs w:val="24"/>
        </w:rPr>
        <w:t>variables could provide a more holistic understanding of the determinants of stunting. </w:t>
      </w:r>
    </w:p>
    <w:p w14:paraId="6739AC53" w14:textId="011253C4" w:rsidR="005D66D2" w:rsidRPr="001D735D" w:rsidRDefault="005D66D2" w:rsidP="0073782C">
      <w:pPr>
        <w:spacing w:after="120" w:line="276" w:lineRule="auto"/>
        <w:ind w:firstLine="426"/>
        <w:jc w:val="both"/>
        <w:rPr>
          <w:rFonts w:ascii="Cambria" w:hAnsi="Cambria" w:cs="Arial"/>
          <w:sz w:val="24"/>
          <w:szCs w:val="24"/>
        </w:rPr>
      </w:pPr>
      <w:r w:rsidRPr="001D735D">
        <w:rPr>
          <w:rFonts w:ascii="Cambria" w:hAnsi="Cambria" w:cs="Arial"/>
          <w:sz w:val="24"/>
          <w:szCs w:val="24"/>
        </w:rPr>
        <w:t>Most studies on stunting in Indonesia utilize cross-sectional data, which limits the</w:t>
      </w:r>
      <w:r w:rsidR="00AB6227">
        <w:rPr>
          <w:rFonts w:ascii="Cambria" w:hAnsi="Cambria" w:cs="Arial"/>
          <w:sz w:val="24"/>
          <w:szCs w:val="24"/>
        </w:rPr>
        <w:t xml:space="preserve"> </w:t>
      </w:r>
      <w:r w:rsidRPr="001D735D">
        <w:rPr>
          <w:rFonts w:ascii="Cambria" w:hAnsi="Cambria" w:cs="Arial"/>
          <w:sz w:val="24"/>
          <w:szCs w:val="24"/>
        </w:rPr>
        <w:t>ability to observe changes and trends over time. Longitudinal data analysis using panel</w:t>
      </w:r>
      <w:r w:rsidR="00AB6227">
        <w:rPr>
          <w:rFonts w:ascii="Cambria" w:hAnsi="Cambria" w:cs="Arial"/>
          <w:sz w:val="24"/>
          <w:szCs w:val="24"/>
        </w:rPr>
        <w:t xml:space="preserve"> </w:t>
      </w:r>
      <w:r w:rsidRPr="001D735D">
        <w:rPr>
          <w:rFonts w:ascii="Cambria" w:hAnsi="Cambria" w:cs="Arial"/>
          <w:sz w:val="24"/>
          <w:szCs w:val="24"/>
        </w:rPr>
        <w:t>data from 34 provinces over multiple years would allow for a better understanding of</w:t>
      </w:r>
      <w:r w:rsidR="00AB6227">
        <w:rPr>
          <w:rFonts w:ascii="Cambria" w:hAnsi="Cambria" w:cs="Arial"/>
          <w:sz w:val="24"/>
          <w:szCs w:val="24"/>
        </w:rPr>
        <w:t xml:space="preserve"> </w:t>
      </w:r>
      <w:r w:rsidRPr="001D735D">
        <w:rPr>
          <w:rFonts w:ascii="Cambria" w:hAnsi="Cambria" w:cs="Arial"/>
          <w:sz w:val="24"/>
          <w:szCs w:val="24"/>
        </w:rPr>
        <w:t>temporal patterns and the long-term effects of HDI, early marriage, ICT, and GII on</w:t>
      </w:r>
      <w:r w:rsidR="00AB6227">
        <w:rPr>
          <w:rFonts w:ascii="Cambria" w:hAnsi="Cambria" w:cs="Arial"/>
          <w:sz w:val="24"/>
          <w:szCs w:val="24"/>
        </w:rPr>
        <w:t xml:space="preserve"> </w:t>
      </w:r>
      <w:r w:rsidRPr="001D735D">
        <w:rPr>
          <w:rFonts w:ascii="Cambria" w:hAnsi="Cambria" w:cs="Arial"/>
          <w:sz w:val="24"/>
          <w:szCs w:val="24"/>
        </w:rPr>
        <w:t>stunting. </w:t>
      </w:r>
    </w:p>
    <w:p w14:paraId="2E2DD161" w14:textId="5E66CEE7" w:rsidR="005D66D2" w:rsidRPr="001D735D" w:rsidRDefault="005D66D2" w:rsidP="0073782C">
      <w:pPr>
        <w:spacing w:after="120" w:line="276" w:lineRule="auto"/>
        <w:ind w:firstLine="426"/>
        <w:jc w:val="both"/>
        <w:rPr>
          <w:rFonts w:ascii="Cambria" w:hAnsi="Cambria" w:cs="Arial"/>
          <w:sz w:val="24"/>
          <w:szCs w:val="24"/>
        </w:rPr>
      </w:pPr>
      <w:r w:rsidRPr="001D735D">
        <w:rPr>
          <w:rFonts w:ascii="Cambria" w:hAnsi="Cambria" w:cs="Arial"/>
          <w:sz w:val="24"/>
          <w:szCs w:val="24"/>
        </w:rPr>
        <w:t>While the role of ICT in improving healthcare delivery and education has been</w:t>
      </w:r>
      <w:r w:rsidR="00AB6227">
        <w:rPr>
          <w:rFonts w:ascii="Cambria" w:hAnsi="Cambria" w:cs="Arial"/>
          <w:sz w:val="24"/>
          <w:szCs w:val="24"/>
        </w:rPr>
        <w:t xml:space="preserve"> </w:t>
      </w:r>
      <w:r w:rsidRPr="001D735D">
        <w:rPr>
          <w:rFonts w:ascii="Cambria" w:hAnsi="Cambria" w:cs="Arial"/>
          <w:sz w:val="24"/>
          <w:szCs w:val="24"/>
        </w:rPr>
        <w:t>recognized, its specific impact on stunting has not been thoroughly explored. Investigating how ICT access and usage can influence stunting rates could reveal new</w:t>
      </w:r>
      <w:r w:rsidR="00AB6227">
        <w:rPr>
          <w:rFonts w:ascii="Cambria" w:hAnsi="Cambria" w:cs="Arial"/>
          <w:sz w:val="24"/>
          <w:szCs w:val="24"/>
        </w:rPr>
        <w:t xml:space="preserve"> </w:t>
      </w:r>
      <w:r w:rsidRPr="001D735D">
        <w:rPr>
          <w:rFonts w:ascii="Cambria" w:hAnsi="Cambria" w:cs="Arial"/>
          <w:sz w:val="24"/>
          <w:szCs w:val="24"/>
        </w:rPr>
        <w:t>intervention pathways and policy recommendations. </w:t>
      </w:r>
    </w:p>
    <w:p w14:paraId="2EC63DDF" w14:textId="47E2692A" w:rsidR="005D66D2" w:rsidRPr="001D735D" w:rsidRDefault="005D66D2" w:rsidP="0073782C">
      <w:pPr>
        <w:spacing w:after="120" w:line="276" w:lineRule="auto"/>
        <w:ind w:firstLine="426"/>
        <w:jc w:val="both"/>
        <w:rPr>
          <w:rFonts w:ascii="Cambria" w:hAnsi="Cambria" w:cs="Arial"/>
          <w:sz w:val="24"/>
          <w:szCs w:val="24"/>
        </w:rPr>
      </w:pPr>
      <w:r w:rsidRPr="001D735D">
        <w:rPr>
          <w:rFonts w:ascii="Cambria" w:hAnsi="Cambria" w:cs="Arial"/>
          <w:sz w:val="24"/>
          <w:szCs w:val="24"/>
        </w:rPr>
        <w:t>Although gender inequality is a known determinant of health outcomes, its direct</w:t>
      </w:r>
      <w:r w:rsidR="00AB6227">
        <w:rPr>
          <w:rFonts w:ascii="Cambria" w:hAnsi="Cambria" w:cs="Arial"/>
          <w:sz w:val="24"/>
          <w:szCs w:val="24"/>
        </w:rPr>
        <w:t xml:space="preserve"> </w:t>
      </w:r>
      <w:r w:rsidRPr="001D735D">
        <w:rPr>
          <w:rFonts w:ascii="Cambria" w:hAnsi="Cambria" w:cs="Arial"/>
          <w:sz w:val="24"/>
          <w:szCs w:val="24"/>
        </w:rPr>
        <w:t>impact on stunting in the Indonesian context remains underexplored. Examining how GII  interacts with other socio-economic factors to influence stunting could provide deeper</w:t>
      </w:r>
      <w:r w:rsidR="00AB6227">
        <w:rPr>
          <w:rFonts w:ascii="Cambria" w:hAnsi="Cambria" w:cs="Arial"/>
          <w:sz w:val="24"/>
          <w:szCs w:val="24"/>
        </w:rPr>
        <w:t xml:space="preserve"> </w:t>
      </w:r>
      <w:r w:rsidRPr="001D735D">
        <w:rPr>
          <w:rFonts w:ascii="Cambria" w:hAnsi="Cambria" w:cs="Arial"/>
          <w:sz w:val="24"/>
          <w:szCs w:val="24"/>
        </w:rPr>
        <w:t>insights into gender-specific interventions. </w:t>
      </w:r>
    </w:p>
    <w:p w14:paraId="448577D5" w14:textId="019F9808" w:rsidR="005D66D2" w:rsidRPr="001D735D" w:rsidRDefault="005D66D2" w:rsidP="0073782C">
      <w:pPr>
        <w:spacing w:after="120" w:line="276" w:lineRule="auto"/>
        <w:ind w:firstLine="426"/>
        <w:jc w:val="both"/>
        <w:rPr>
          <w:rFonts w:ascii="Cambria" w:hAnsi="Cambria" w:cs="Arial"/>
          <w:sz w:val="24"/>
          <w:szCs w:val="24"/>
        </w:rPr>
      </w:pPr>
      <w:r w:rsidRPr="001D735D">
        <w:rPr>
          <w:rFonts w:ascii="Cambria" w:hAnsi="Cambria" w:cs="Arial"/>
          <w:sz w:val="24"/>
          <w:szCs w:val="24"/>
        </w:rPr>
        <w:lastRenderedPageBreak/>
        <w:t>Addressing these research gaps could significantly enhance the understanding of the  multifaceted factors influencing stunting in Indonesia. The proposed study's use of panel  data from 34 provinces over the period 2020-2023 provides a unique opportunity to  explore these gaps and contribute to more effective stunting reduction strategies. </w:t>
      </w:r>
    </w:p>
    <w:p w14:paraId="215EA8B3" w14:textId="77777777" w:rsidR="0081151B" w:rsidRPr="001D735D" w:rsidRDefault="0081151B" w:rsidP="006F4D01">
      <w:pPr>
        <w:spacing w:after="0" w:line="276" w:lineRule="auto"/>
        <w:ind w:left="142" w:firstLine="284"/>
        <w:jc w:val="both"/>
        <w:rPr>
          <w:rFonts w:ascii="Cambria" w:hAnsi="Cambria" w:cs="Arial"/>
          <w:sz w:val="24"/>
          <w:szCs w:val="24"/>
          <w:lang w:val="en-US"/>
        </w:rPr>
      </w:pPr>
    </w:p>
    <w:p w14:paraId="43BBC55E" w14:textId="7CD9A80E" w:rsidR="006250CA" w:rsidRPr="001D735D" w:rsidRDefault="005D66D2" w:rsidP="0073782C">
      <w:pPr>
        <w:numPr>
          <w:ilvl w:val="1"/>
          <w:numId w:val="11"/>
        </w:numPr>
        <w:spacing w:after="120" w:line="276" w:lineRule="auto"/>
        <w:ind w:left="851" w:hanging="431"/>
        <w:rPr>
          <w:rFonts w:ascii="Cambria" w:eastAsia="Times New Roman" w:hAnsi="Cambria" w:cs="Arial"/>
          <w:kern w:val="0"/>
          <w:sz w:val="24"/>
          <w:szCs w:val="24"/>
          <w:lang w:val="en-US"/>
          <w14:ligatures w14:val="none"/>
        </w:rPr>
      </w:pPr>
      <w:r w:rsidRPr="001D735D">
        <w:rPr>
          <w:rFonts w:ascii="Cambria" w:eastAsia="Times New Roman" w:hAnsi="Cambria" w:cs="Arial"/>
          <w:kern w:val="0"/>
          <w:sz w:val="24"/>
          <w:szCs w:val="24"/>
          <w:lang w:val="en-US"/>
          <w14:ligatures w14:val="none"/>
        </w:rPr>
        <w:t>Human Capital Theory</w:t>
      </w:r>
    </w:p>
    <w:p w14:paraId="3CEF08F0" w14:textId="33D7450F" w:rsidR="005D66D2" w:rsidRPr="001D735D" w:rsidRDefault="005D66D2" w:rsidP="005834DE">
      <w:pPr>
        <w:spacing w:after="120" w:line="276" w:lineRule="auto"/>
        <w:ind w:left="851" w:firstLine="284"/>
        <w:jc w:val="both"/>
        <w:rPr>
          <w:rFonts w:ascii="Cambria" w:hAnsi="Cambria" w:cs="Arial"/>
          <w:sz w:val="24"/>
          <w:szCs w:val="24"/>
        </w:rPr>
      </w:pPr>
      <w:r w:rsidRPr="001D735D">
        <w:rPr>
          <w:rFonts w:ascii="Cambria" w:hAnsi="Cambria" w:cs="Arial"/>
          <w:sz w:val="24"/>
          <w:szCs w:val="24"/>
        </w:rPr>
        <w:t>The human capital theory posits that investments in human capital, such as education</w:t>
      </w:r>
      <w:r w:rsidR="00AB6227">
        <w:rPr>
          <w:rFonts w:ascii="Cambria" w:hAnsi="Cambria" w:cs="Arial"/>
          <w:sz w:val="24"/>
          <w:szCs w:val="24"/>
        </w:rPr>
        <w:t xml:space="preserve"> </w:t>
      </w:r>
      <w:r w:rsidRPr="001D735D">
        <w:rPr>
          <w:rFonts w:ascii="Cambria" w:hAnsi="Cambria" w:cs="Arial"/>
          <w:sz w:val="24"/>
          <w:szCs w:val="24"/>
        </w:rPr>
        <w:t>and health, can lead to improved economic outcomes (Becker, 1964). In the context of</w:t>
      </w:r>
      <w:r w:rsidR="00AB6227">
        <w:rPr>
          <w:rFonts w:ascii="Cambria" w:hAnsi="Cambria" w:cs="Arial"/>
          <w:sz w:val="24"/>
          <w:szCs w:val="24"/>
        </w:rPr>
        <w:t xml:space="preserve"> </w:t>
      </w:r>
      <w:r w:rsidRPr="001D735D">
        <w:rPr>
          <w:rFonts w:ascii="Cambria" w:hAnsi="Cambria" w:cs="Arial"/>
          <w:sz w:val="24"/>
          <w:szCs w:val="24"/>
        </w:rPr>
        <w:t>stunting, human capital theory suggests that investments in health and nutrition can</w:t>
      </w:r>
      <w:r w:rsidR="00AB6227">
        <w:rPr>
          <w:rFonts w:ascii="Cambria" w:hAnsi="Cambria" w:cs="Arial"/>
          <w:sz w:val="24"/>
          <w:szCs w:val="24"/>
        </w:rPr>
        <w:t xml:space="preserve"> </w:t>
      </w:r>
      <w:r w:rsidRPr="001D735D">
        <w:rPr>
          <w:rFonts w:ascii="Cambria" w:hAnsi="Cambria" w:cs="Arial"/>
          <w:sz w:val="24"/>
          <w:szCs w:val="24"/>
        </w:rPr>
        <w:t>improve cognitive and physical development, leading to better economic outcomes. The</w:t>
      </w:r>
      <w:r w:rsidR="00AB6227">
        <w:rPr>
          <w:rFonts w:ascii="Cambria" w:hAnsi="Cambria" w:cs="Arial"/>
          <w:sz w:val="24"/>
          <w:szCs w:val="24"/>
        </w:rPr>
        <w:t xml:space="preserve"> </w:t>
      </w:r>
      <w:r w:rsidRPr="001D735D">
        <w:rPr>
          <w:rFonts w:ascii="Cambria" w:hAnsi="Cambria" w:cs="Arial"/>
          <w:sz w:val="24"/>
          <w:szCs w:val="24"/>
        </w:rPr>
        <w:t xml:space="preserve">community development index, which encompasses various aspects of community </w:t>
      </w:r>
      <w:r w:rsidR="00AB6227">
        <w:rPr>
          <w:rFonts w:ascii="Cambria" w:hAnsi="Cambria" w:cs="Arial"/>
          <w:sz w:val="24"/>
          <w:szCs w:val="24"/>
        </w:rPr>
        <w:t>well-being</w:t>
      </w:r>
      <w:r w:rsidRPr="001D735D">
        <w:rPr>
          <w:rFonts w:ascii="Cambria" w:hAnsi="Cambria" w:cs="Arial"/>
          <w:sz w:val="24"/>
          <w:szCs w:val="24"/>
        </w:rPr>
        <w:t>, can be seen as an investment in human capital. A recent study by Nguyen et al.  (2020) found that human capital investments can reduce stunting in children.</w:t>
      </w:r>
    </w:p>
    <w:p w14:paraId="2F50A236" w14:textId="196F8592" w:rsidR="005D66D2" w:rsidRPr="001D735D" w:rsidRDefault="005D66D2" w:rsidP="005834DE">
      <w:pPr>
        <w:pStyle w:val="ListParagraph"/>
        <w:numPr>
          <w:ilvl w:val="1"/>
          <w:numId w:val="11"/>
        </w:numPr>
        <w:spacing w:after="120" w:line="276" w:lineRule="auto"/>
        <w:ind w:left="851" w:hanging="425"/>
        <w:jc w:val="both"/>
        <w:rPr>
          <w:rFonts w:ascii="Cambria" w:hAnsi="Cambria" w:cs="Arial"/>
          <w:sz w:val="24"/>
          <w:szCs w:val="24"/>
          <w:lang w:val="en-US"/>
        </w:rPr>
      </w:pPr>
      <w:r w:rsidRPr="001D735D">
        <w:rPr>
          <w:rFonts w:ascii="Cambria" w:hAnsi="Cambria" w:cs="Arial"/>
          <w:sz w:val="24"/>
          <w:szCs w:val="24"/>
          <w:lang w:val="en-US"/>
        </w:rPr>
        <w:t>Social Determinants of Health Theory</w:t>
      </w:r>
    </w:p>
    <w:p w14:paraId="3EA8B074" w14:textId="323EB139" w:rsidR="005D66D2" w:rsidRPr="001D735D" w:rsidRDefault="005D66D2" w:rsidP="005834DE">
      <w:pPr>
        <w:spacing w:after="120" w:line="276" w:lineRule="auto"/>
        <w:ind w:left="851" w:firstLine="284"/>
        <w:jc w:val="both"/>
        <w:rPr>
          <w:rFonts w:ascii="Cambria" w:hAnsi="Cambria" w:cs="Arial"/>
          <w:sz w:val="24"/>
          <w:szCs w:val="24"/>
        </w:rPr>
      </w:pPr>
      <w:r w:rsidRPr="001D735D">
        <w:rPr>
          <w:rFonts w:ascii="Cambria" w:hAnsi="Cambria" w:cs="Arial"/>
          <w:sz w:val="24"/>
          <w:szCs w:val="24"/>
        </w:rPr>
        <w:t xml:space="preserve">The social determinants of health theory </w:t>
      </w:r>
      <w:r w:rsidR="00AB6227">
        <w:rPr>
          <w:rFonts w:ascii="Cambria" w:hAnsi="Cambria" w:cs="Arial"/>
          <w:sz w:val="24"/>
          <w:szCs w:val="24"/>
        </w:rPr>
        <w:t>emphasizes</w:t>
      </w:r>
      <w:r w:rsidRPr="001D735D">
        <w:rPr>
          <w:rFonts w:ascii="Cambria" w:hAnsi="Cambria" w:cs="Arial"/>
          <w:sz w:val="24"/>
          <w:szCs w:val="24"/>
        </w:rPr>
        <w:t xml:space="preserve"> the role of social and economic</w:t>
      </w:r>
      <w:r w:rsidR="00AB6227">
        <w:rPr>
          <w:rFonts w:ascii="Cambria" w:hAnsi="Cambria" w:cs="Arial"/>
          <w:sz w:val="24"/>
          <w:szCs w:val="24"/>
        </w:rPr>
        <w:t xml:space="preserve"> </w:t>
      </w:r>
      <w:r w:rsidRPr="001D735D">
        <w:rPr>
          <w:rFonts w:ascii="Cambria" w:hAnsi="Cambria" w:cs="Arial"/>
          <w:sz w:val="24"/>
          <w:szCs w:val="24"/>
        </w:rPr>
        <w:t>factors in shaping health outcomes (Marmot, 2017). This theory suggests that factors such</w:t>
      </w:r>
      <w:r w:rsidR="00AB6227">
        <w:rPr>
          <w:rFonts w:ascii="Cambria" w:hAnsi="Cambria" w:cs="Arial"/>
          <w:sz w:val="24"/>
          <w:szCs w:val="24"/>
        </w:rPr>
        <w:t xml:space="preserve"> </w:t>
      </w:r>
      <w:r w:rsidRPr="001D735D">
        <w:rPr>
          <w:rFonts w:ascii="Cambria" w:hAnsi="Cambria" w:cs="Arial"/>
          <w:sz w:val="24"/>
          <w:szCs w:val="24"/>
        </w:rPr>
        <w:t xml:space="preserve">as early marriage, information and communication technology, and </w:t>
      </w:r>
      <w:r w:rsidR="00AB6227">
        <w:rPr>
          <w:rFonts w:ascii="Cambria" w:hAnsi="Cambria" w:cs="Arial"/>
          <w:sz w:val="24"/>
          <w:szCs w:val="24"/>
        </w:rPr>
        <w:t xml:space="preserve">the </w:t>
      </w:r>
      <w:r w:rsidRPr="001D735D">
        <w:rPr>
          <w:rFonts w:ascii="Cambria" w:hAnsi="Cambria" w:cs="Arial"/>
          <w:sz w:val="24"/>
          <w:szCs w:val="24"/>
        </w:rPr>
        <w:t>gender inequality</w:t>
      </w:r>
      <w:r w:rsidR="00AB6227">
        <w:rPr>
          <w:rFonts w:ascii="Cambria" w:hAnsi="Cambria" w:cs="Arial"/>
          <w:sz w:val="24"/>
          <w:szCs w:val="24"/>
        </w:rPr>
        <w:t xml:space="preserve"> </w:t>
      </w:r>
      <w:r w:rsidRPr="001D735D">
        <w:rPr>
          <w:rFonts w:ascii="Cambria" w:hAnsi="Cambria" w:cs="Arial"/>
          <w:sz w:val="24"/>
          <w:szCs w:val="24"/>
        </w:rPr>
        <w:t>index can influence health outcomes, including stunting. A study by Hossain et al. (2020)  found that social determinants of health, including early marriage, are associated with</w:t>
      </w:r>
      <w:r w:rsidR="00AB6227">
        <w:rPr>
          <w:rFonts w:ascii="Cambria" w:hAnsi="Cambria" w:cs="Arial"/>
          <w:sz w:val="24"/>
          <w:szCs w:val="24"/>
        </w:rPr>
        <w:t xml:space="preserve"> </w:t>
      </w:r>
      <w:r w:rsidRPr="001D735D">
        <w:rPr>
          <w:rFonts w:ascii="Cambria" w:hAnsi="Cambria" w:cs="Arial"/>
          <w:sz w:val="24"/>
          <w:szCs w:val="24"/>
        </w:rPr>
        <w:t>stunting in children. </w:t>
      </w:r>
    </w:p>
    <w:p w14:paraId="6E9DE6BB" w14:textId="77332ED0" w:rsidR="005D66D2" w:rsidRPr="001D735D" w:rsidRDefault="005D66D2" w:rsidP="005834DE">
      <w:pPr>
        <w:pStyle w:val="ListParagraph"/>
        <w:numPr>
          <w:ilvl w:val="1"/>
          <w:numId w:val="11"/>
        </w:numPr>
        <w:spacing w:after="120" w:line="276" w:lineRule="auto"/>
        <w:ind w:left="851" w:hanging="425"/>
        <w:jc w:val="both"/>
        <w:rPr>
          <w:rFonts w:ascii="Cambria" w:hAnsi="Cambria" w:cs="Arial"/>
          <w:sz w:val="24"/>
          <w:szCs w:val="24"/>
        </w:rPr>
      </w:pPr>
      <w:r w:rsidRPr="001D735D">
        <w:rPr>
          <w:rFonts w:ascii="Cambria" w:hAnsi="Cambria" w:cs="Arial"/>
          <w:sz w:val="24"/>
          <w:szCs w:val="24"/>
        </w:rPr>
        <w:t>Gender and Development Theory</w:t>
      </w:r>
    </w:p>
    <w:p w14:paraId="39D1388E" w14:textId="6E744D13" w:rsidR="005D66D2" w:rsidRPr="001D735D" w:rsidRDefault="005D66D2" w:rsidP="005834DE">
      <w:pPr>
        <w:spacing w:after="120" w:line="276" w:lineRule="auto"/>
        <w:ind w:left="851" w:firstLine="284"/>
        <w:jc w:val="both"/>
        <w:rPr>
          <w:rFonts w:ascii="Cambria" w:hAnsi="Cambria" w:cs="Arial"/>
          <w:sz w:val="24"/>
          <w:szCs w:val="24"/>
        </w:rPr>
      </w:pPr>
      <w:r w:rsidRPr="001D735D">
        <w:rPr>
          <w:rFonts w:ascii="Cambria" w:hAnsi="Cambria" w:cs="Arial"/>
          <w:sz w:val="24"/>
          <w:szCs w:val="24"/>
        </w:rPr>
        <w:t>The gender and development theory highlights the importance of gender equality in achieving development goals (Kabeer, 2019). This theory suggests that gender inequality, as reflected in the gender inequality index, can limit access to resources and opportunities,  leading to poor health outcomes, including stunting. A study by Yaya et al. (2020) found that gender inequality is associated with stunting in children.</w:t>
      </w:r>
    </w:p>
    <w:p w14:paraId="65BE54A5" w14:textId="77777777" w:rsidR="005D66D2" w:rsidRPr="001D735D" w:rsidRDefault="005D66D2" w:rsidP="005B0610">
      <w:pPr>
        <w:pStyle w:val="ListParagraph"/>
        <w:numPr>
          <w:ilvl w:val="1"/>
          <w:numId w:val="11"/>
        </w:numPr>
        <w:spacing w:after="120" w:line="276" w:lineRule="auto"/>
        <w:ind w:left="851" w:hanging="425"/>
        <w:jc w:val="both"/>
        <w:rPr>
          <w:rFonts w:ascii="Cambria" w:hAnsi="Cambria" w:cs="Arial"/>
          <w:sz w:val="24"/>
          <w:szCs w:val="24"/>
        </w:rPr>
      </w:pPr>
      <w:r w:rsidRPr="001D735D">
        <w:rPr>
          <w:rFonts w:ascii="Cambria" w:hAnsi="Cambria" w:cs="Arial"/>
          <w:sz w:val="24"/>
          <w:szCs w:val="24"/>
        </w:rPr>
        <w:t xml:space="preserve">Technology Acceptance Model </w:t>
      </w:r>
    </w:p>
    <w:p w14:paraId="567D5FDC" w14:textId="75985899" w:rsidR="005D66D2" w:rsidRPr="001D735D" w:rsidRDefault="005D66D2" w:rsidP="005B0610">
      <w:pPr>
        <w:spacing w:after="120" w:line="276" w:lineRule="auto"/>
        <w:ind w:left="851" w:firstLine="283"/>
        <w:jc w:val="both"/>
        <w:rPr>
          <w:rFonts w:ascii="Cambria" w:eastAsia="Times New Roman" w:hAnsi="Cambria" w:cs="Arial"/>
          <w:color w:val="000000"/>
          <w:kern w:val="0"/>
          <w:sz w:val="24"/>
          <w:szCs w:val="24"/>
          <w:lang w:eastAsia="en-ID"/>
          <w14:ligatures w14:val="none"/>
        </w:rPr>
      </w:pPr>
      <w:r w:rsidRPr="001D735D">
        <w:rPr>
          <w:rFonts w:ascii="Cambria" w:eastAsia="Times New Roman" w:hAnsi="Cambria" w:cs="Arial"/>
          <w:color w:val="000000"/>
          <w:kern w:val="0"/>
          <w:sz w:val="24"/>
          <w:szCs w:val="24"/>
          <w:lang w:eastAsia="en-ID"/>
          <w14:ligatures w14:val="none"/>
        </w:rPr>
        <w:t>The technology acceptance model explains how individuals adopt and use</w:t>
      </w:r>
      <w:r w:rsidR="00AB6227">
        <w:rPr>
          <w:rFonts w:ascii="Cambria" w:eastAsia="Times New Roman" w:hAnsi="Cambria" w:cs="Arial"/>
          <w:color w:val="000000"/>
          <w:kern w:val="0"/>
          <w:sz w:val="24"/>
          <w:szCs w:val="24"/>
          <w:lang w:eastAsia="en-ID"/>
          <w14:ligatures w14:val="none"/>
        </w:rPr>
        <w:t xml:space="preserve"> </w:t>
      </w:r>
      <w:r w:rsidRPr="001D735D">
        <w:rPr>
          <w:rFonts w:ascii="Cambria" w:eastAsia="Times New Roman" w:hAnsi="Cambria" w:cs="Arial"/>
          <w:color w:val="000000"/>
          <w:kern w:val="0"/>
          <w:sz w:val="24"/>
          <w:szCs w:val="24"/>
          <w:lang w:eastAsia="en-ID"/>
          <w14:ligatures w14:val="none"/>
        </w:rPr>
        <w:t>technology (Venkatesh et al., 2012). In the context of this study, the technology</w:t>
      </w:r>
      <w:r w:rsidR="00AB6227">
        <w:rPr>
          <w:rFonts w:ascii="Cambria" w:eastAsia="Times New Roman" w:hAnsi="Cambria" w:cs="Arial"/>
          <w:color w:val="000000"/>
          <w:kern w:val="0"/>
          <w:sz w:val="24"/>
          <w:szCs w:val="24"/>
          <w:lang w:eastAsia="en-ID"/>
          <w14:ligatures w14:val="none"/>
        </w:rPr>
        <w:t xml:space="preserve"> </w:t>
      </w:r>
      <w:r w:rsidRPr="001D735D">
        <w:rPr>
          <w:rFonts w:ascii="Cambria" w:eastAsia="Times New Roman" w:hAnsi="Cambria" w:cs="Arial"/>
          <w:color w:val="000000"/>
          <w:kern w:val="0"/>
          <w:sz w:val="24"/>
          <w:szCs w:val="24"/>
          <w:lang w:eastAsia="en-ID"/>
          <w14:ligatures w14:val="none"/>
        </w:rPr>
        <w:t>acceptance model can help explain how information and communication technology can</w:t>
      </w:r>
      <w:r w:rsidR="00AB6227">
        <w:rPr>
          <w:rFonts w:ascii="Cambria" w:eastAsia="Times New Roman" w:hAnsi="Cambria" w:cs="Arial"/>
          <w:color w:val="000000"/>
          <w:kern w:val="0"/>
          <w:sz w:val="24"/>
          <w:szCs w:val="24"/>
          <w:lang w:eastAsia="en-ID"/>
          <w14:ligatures w14:val="none"/>
        </w:rPr>
        <w:t xml:space="preserve"> </w:t>
      </w:r>
      <w:r w:rsidRPr="001D735D">
        <w:rPr>
          <w:rFonts w:ascii="Cambria" w:eastAsia="Times New Roman" w:hAnsi="Cambria" w:cs="Arial"/>
          <w:color w:val="000000"/>
          <w:kern w:val="0"/>
          <w:sz w:val="24"/>
          <w:szCs w:val="24"/>
          <w:lang w:eastAsia="en-ID"/>
          <w14:ligatures w14:val="none"/>
        </w:rPr>
        <w:t>influence health outcomes, including stunting. A study by Wang et al. (2020found that</w:t>
      </w:r>
      <w:r w:rsidR="00AB6227">
        <w:rPr>
          <w:rFonts w:ascii="Cambria" w:eastAsia="Times New Roman" w:hAnsi="Cambria" w:cs="Arial"/>
          <w:color w:val="000000"/>
          <w:kern w:val="0"/>
          <w:sz w:val="24"/>
          <w:szCs w:val="24"/>
          <w:lang w:eastAsia="en-ID"/>
          <w14:ligatures w14:val="none"/>
        </w:rPr>
        <w:t xml:space="preserve"> </w:t>
      </w:r>
      <w:r w:rsidRPr="001D735D">
        <w:rPr>
          <w:rFonts w:ascii="Cambria" w:eastAsia="Times New Roman" w:hAnsi="Cambria" w:cs="Arial"/>
          <w:color w:val="000000"/>
          <w:kern w:val="0"/>
          <w:sz w:val="24"/>
          <w:szCs w:val="24"/>
          <w:lang w:eastAsia="en-ID"/>
          <w14:ligatures w14:val="none"/>
        </w:rPr>
        <w:t>technology acceptance is associated with improved health outcomes. </w:t>
      </w:r>
    </w:p>
    <w:p w14:paraId="7143D07A" w14:textId="410D54EA" w:rsidR="00964DEC" w:rsidRPr="001D735D" w:rsidRDefault="00964DEC" w:rsidP="005B0610">
      <w:pPr>
        <w:pStyle w:val="ListParagraph"/>
        <w:numPr>
          <w:ilvl w:val="1"/>
          <w:numId w:val="11"/>
        </w:numPr>
        <w:spacing w:after="120" w:line="276" w:lineRule="auto"/>
        <w:ind w:left="851" w:hanging="425"/>
        <w:jc w:val="both"/>
        <w:rPr>
          <w:rFonts w:ascii="Cambria" w:hAnsi="Cambria" w:cs="Arial"/>
          <w:sz w:val="24"/>
          <w:szCs w:val="24"/>
        </w:rPr>
      </w:pPr>
      <w:r w:rsidRPr="001D735D">
        <w:rPr>
          <w:rFonts w:ascii="Cambria" w:hAnsi="Cambria" w:cs="Arial"/>
          <w:sz w:val="24"/>
          <w:szCs w:val="24"/>
        </w:rPr>
        <w:t>Theoretical Framework</w:t>
      </w:r>
    </w:p>
    <w:p w14:paraId="2E6AE9BE" w14:textId="77777777" w:rsidR="00964DEC" w:rsidRPr="001D735D" w:rsidRDefault="00964DEC" w:rsidP="005B0610">
      <w:pPr>
        <w:spacing w:after="120" w:line="276" w:lineRule="auto"/>
        <w:ind w:left="851" w:firstLine="284"/>
        <w:jc w:val="both"/>
        <w:rPr>
          <w:rFonts w:ascii="Cambria" w:hAnsi="Cambria" w:cs="Arial"/>
          <w:sz w:val="24"/>
          <w:szCs w:val="24"/>
        </w:rPr>
      </w:pPr>
      <w:r w:rsidRPr="001D735D">
        <w:rPr>
          <w:rFonts w:ascii="Cambria" w:hAnsi="Cambria" w:cs="Arial"/>
          <w:sz w:val="24"/>
          <w:szCs w:val="24"/>
        </w:rPr>
        <w:lastRenderedPageBreak/>
        <w:t xml:space="preserve">Based on theory and previous research, the relationship between HDI, Early Marriage,  ICT, and GII and stunting can be explained as follows: </w:t>
      </w:r>
    </w:p>
    <w:p w14:paraId="3EBF06FB" w14:textId="4180FB5D" w:rsidR="00964DEC" w:rsidRPr="001D735D" w:rsidRDefault="00964DEC" w:rsidP="005B0610">
      <w:pPr>
        <w:pStyle w:val="ListParagraph"/>
        <w:numPr>
          <w:ilvl w:val="0"/>
          <w:numId w:val="6"/>
        </w:numPr>
        <w:spacing w:after="120" w:line="276" w:lineRule="auto"/>
        <w:ind w:left="1134" w:hanging="283"/>
        <w:jc w:val="both"/>
        <w:rPr>
          <w:rFonts w:ascii="Cambria" w:hAnsi="Cambria" w:cs="Arial"/>
          <w:sz w:val="24"/>
          <w:szCs w:val="24"/>
        </w:rPr>
      </w:pPr>
      <w:r w:rsidRPr="001D735D">
        <w:rPr>
          <w:rFonts w:ascii="Cambria" w:hAnsi="Cambria" w:cs="Arial"/>
          <w:sz w:val="24"/>
          <w:szCs w:val="24"/>
        </w:rPr>
        <w:t>HDI and Stunting: A high HDI reflects progress in health, education</w:t>
      </w:r>
      <w:r w:rsidR="00AB6227">
        <w:rPr>
          <w:rFonts w:ascii="Cambria" w:hAnsi="Cambria" w:cs="Arial"/>
          <w:sz w:val="24"/>
          <w:szCs w:val="24"/>
        </w:rPr>
        <w:t>, and the economy,</w:t>
      </w:r>
      <w:r w:rsidRPr="001D735D">
        <w:rPr>
          <w:rFonts w:ascii="Cambria" w:hAnsi="Cambria" w:cs="Arial"/>
          <w:sz w:val="24"/>
          <w:szCs w:val="24"/>
        </w:rPr>
        <w:t xml:space="preserve"> which can reduce risk factors for stunting. </w:t>
      </w:r>
    </w:p>
    <w:p w14:paraId="7921C1BD" w14:textId="106CEE0D" w:rsidR="00964DEC" w:rsidRPr="001D735D" w:rsidRDefault="00964DEC" w:rsidP="005B0610">
      <w:pPr>
        <w:pStyle w:val="ListParagraph"/>
        <w:numPr>
          <w:ilvl w:val="0"/>
          <w:numId w:val="6"/>
        </w:numPr>
        <w:spacing w:after="120" w:line="276" w:lineRule="auto"/>
        <w:ind w:left="1134" w:hanging="283"/>
        <w:jc w:val="both"/>
        <w:rPr>
          <w:rFonts w:ascii="Cambria" w:hAnsi="Cambria" w:cs="Arial"/>
          <w:sz w:val="24"/>
          <w:szCs w:val="24"/>
        </w:rPr>
      </w:pPr>
      <w:r w:rsidRPr="001D735D">
        <w:rPr>
          <w:rFonts w:ascii="Cambria" w:hAnsi="Cambria" w:cs="Arial"/>
          <w:sz w:val="24"/>
          <w:szCs w:val="24"/>
        </w:rPr>
        <w:t xml:space="preserve">Early Marriage and Stunting: Early marriage increases the risk of early pregnancy and poor prenatal care, which contributes to stunting. </w:t>
      </w:r>
    </w:p>
    <w:p w14:paraId="55A9DD3E" w14:textId="77777777" w:rsidR="00AB6227" w:rsidRDefault="00964DEC" w:rsidP="005B0610">
      <w:pPr>
        <w:pStyle w:val="ListParagraph"/>
        <w:numPr>
          <w:ilvl w:val="0"/>
          <w:numId w:val="6"/>
        </w:numPr>
        <w:spacing w:after="120" w:line="276" w:lineRule="auto"/>
        <w:ind w:left="1134" w:hanging="283"/>
        <w:jc w:val="both"/>
        <w:rPr>
          <w:rFonts w:ascii="Cambria" w:hAnsi="Cambria" w:cs="Arial"/>
          <w:sz w:val="24"/>
          <w:szCs w:val="24"/>
        </w:rPr>
      </w:pPr>
      <w:r w:rsidRPr="001D735D">
        <w:rPr>
          <w:rFonts w:ascii="Cambria" w:hAnsi="Cambria" w:cs="Arial"/>
          <w:sz w:val="24"/>
          <w:szCs w:val="24"/>
        </w:rPr>
        <w:t xml:space="preserve">ICT and Stunting: Information and Communication Technology and </w:t>
      </w:r>
      <w:r w:rsidR="00AB6227">
        <w:rPr>
          <w:rFonts w:ascii="Cambria" w:hAnsi="Cambria" w:cs="Arial"/>
          <w:sz w:val="24"/>
          <w:szCs w:val="24"/>
        </w:rPr>
        <w:t xml:space="preserve">the </w:t>
      </w:r>
      <w:r w:rsidRPr="001D735D">
        <w:rPr>
          <w:rFonts w:ascii="Cambria" w:hAnsi="Cambria" w:cs="Arial"/>
          <w:sz w:val="24"/>
          <w:szCs w:val="24"/>
        </w:rPr>
        <w:t xml:space="preserve">use of ICT can improve health information and services that are important for preventing stunting. </w:t>
      </w:r>
    </w:p>
    <w:p w14:paraId="233A75AD" w14:textId="01E6F7DC" w:rsidR="005D66D2" w:rsidRPr="001D735D" w:rsidRDefault="00964DEC" w:rsidP="005B0610">
      <w:pPr>
        <w:pStyle w:val="ListParagraph"/>
        <w:numPr>
          <w:ilvl w:val="0"/>
          <w:numId w:val="6"/>
        </w:numPr>
        <w:spacing w:after="120" w:line="276" w:lineRule="auto"/>
        <w:ind w:left="1134" w:hanging="283"/>
        <w:jc w:val="both"/>
        <w:rPr>
          <w:rFonts w:ascii="Cambria" w:hAnsi="Cambria" w:cs="Arial"/>
          <w:sz w:val="24"/>
          <w:szCs w:val="24"/>
        </w:rPr>
      </w:pPr>
      <w:r w:rsidRPr="001D735D">
        <w:rPr>
          <w:rFonts w:ascii="Cambria" w:hAnsi="Cambria" w:cs="Arial"/>
          <w:sz w:val="24"/>
          <w:szCs w:val="24"/>
        </w:rPr>
        <w:t xml:space="preserve">GII and Stunting: </w:t>
      </w:r>
      <w:r w:rsidR="00AB6227">
        <w:rPr>
          <w:rFonts w:ascii="Cambria" w:hAnsi="Cambria" w:cs="Arial"/>
          <w:sz w:val="24"/>
          <w:szCs w:val="24"/>
        </w:rPr>
        <w:t>The Gender Inequality</w:t>
      </w:r>
      <w:r w:rsidRPr="001D735D">
        <w:rPr>
          <w:rFonts w:ascii="Cambria" w:hAnsi="Cambria" w:cs="Arial"/>
          <w:sz w:val="24"/>
          <w:szCs w:val="24"/>
        </w:rPr>
        <w:t xml:space="preserve"> Index limits women from getting the education and health services needed to prevent stunting in their children.</w:t>
      </w:r>
    </w:p>
    <w:p w14:paraId="45DEC3D5" w14:textId="77777777" w:rsidR="0081151B" w:rsidRPr="001D735D" w:rsidRDefault="0081151B" w:rsidP="006F4D01">
      <w:pPr>
        <w:spacing w:after="0" w:line="276" w:lineRule="auto"/>
        <w:ind w:left="142" w:firstLine="284"/>
        <w:rPr>
          <w:rFonts w:ascii="Cambria" w:hAnsi="Cambria" w:cs="Arial"/>
          <w:sz w:val="24"/>
          <w:szCs w:val="24"/>
          <w:lang w:val="en-US"/>
        </w:rPr>
      </w:pPr>
    </w:p>
    <w:p w14:paraId="57B6F966" w14:textId="328AAD84" w:rsidR="00E7382C" w:rsidRPr="001D735D" w:rsidRDefault="00E7382C" w:rsidP="008F0CF1">
      <w:pPr>
        <w:pStyle w:val="ListParagraph"/>
        <w:numPr>
          <w:ilvl w:val="0"/>
          <w:numId w:val="11"/>
        </w:numPr>
        <w:spacing w:after="0" w:line="276" w:lineRule="auto"/>
        <w:ind w:left="426" w:hanging="426"/>
        <w:rPr>
          <w:rFonts w:ascii="Cambria" w:eastAsia="Times New Roman" w:hAnsi="Cambria" w:cs="Arial"/>
          <w:kern w:val="0"/>
          <w:sz w:val="24"/>
          <w:szCs w:val="24"/>
          <w:lang w:val="en-US"/>
          <w14:ligatures w14:val="none"/>
        </w:rPr>
      </w:pPr>
      <w:r w:rsidRPr="001D735D">
        <w:rPr>
          <w:rFonts w:ascii="Cambria" w:hAnsi="Cambria" w:cs="Arial"/>
          <w:b/>
          <w:bCs/>
          <w:sz w:val="24"/>
          <w:szCs w:val="24"/>
          <w:lang w:val="en-US"/>
        </w:rPr>
        <w:t>Data and Methodology</w:t>
      </w:r>
    </w:p>
    <w:p w14:paraId="0D2F7D6B" w14:textId="6C883B79" w:rsidR="00E7382C" w:rsidRPr="001D735D" w:rsidRDefault="00E7382C" w:rsidP="006F4D01">
      <w:pPr>
        <w:spacing w:after="0" w:line="276" w:lineRule="auto"/>
        <w:rPr>
          <w:rFonts w:ascii="Cambria" w:eastAsia="Times New Roman" w:hAnsi="Cambria" w:cs="Arial"/>
          <w:kern w:val="0"/>
          <w:sz w:val="24"/>
          <w:szCs w:val="24"/>
          <w:lang w:val="en-US"/>
          <w14:ligatures w14:val="none"/>
        </w:rPr>
      </w:pPr>
    </w:p>
    <w:p w14:paraId="04761D11" w14:textId="01985E4B" w:rsidR="00E7382C" w:rsidRPr="001D735D" w:rsidRDefault="00E7382C" w:rsidP="008F0CF1">
      <w:pPr>
        <w:spacing w:after="120" w:line="276" w:lineRule="auto"/>
        <w:ind w:firstLine="426"/>
        <w:jc w:val="both"/>
        <w:rPr>
          <w:rFonts w:ascii="Cambria" w:hAnsi="Cambria" w:cs="Arial"/>
          <w:sz w:val="24"/>
          <w:szCs w:val="24"/>
          <w:lang w:val="en-US"/>
        </w:rPr>
      </w:pPr>
      <w:r w:rsidRPr="001D735D">
        <w:rPr>
          <w:rFonts w:ascii="Cambria" w:hAnsi="Cambria" w:cs="Arial"/>
          <w:sz w:val="24"/>
          <w:szCs w:val="24"/>
          <w:lang w:val="en-US"/>
        </w:rPr>
        <w:t>The data used in this research is secondary data in the form of annual panel data</w:t>
      </w:r>
      <w:r w:rsidR="00AB6227">
        <w:rPr>
          <w:rFonts w:ascii="Cambria" w:hAnsi="Cambria" w:cs="Arial"/>
          <w:sz w:val="24"/>
          <w:szCs w:val="24"/>
          <w:lang w:val="en-US"/>
        </w:rPr>
        <w:t>,</w:t>
      </w:r>
      <w:r w:rsidRPr="001D735D">
        <w:rPr>
          <w:rFonts w:ascii="Cambria" w:hAnsi="Cambria" w:cs="Arial"/>
          <w:sz w:val="24"/>
          <w:szCs w:val="24"/>
          <w:lang w:val="en-US"/>
        </w:rPr>
        <w:t xml:space="preserve"> with the research period from 2004 to 2020. The determination of the time vulnerability used in this research is based on the 2004-2020 time period</w:t>
      </w:r>
      <w:r w:rsidR="00AB6227">
        <w:rPr>
          <w:rFonts w:ascii="Cambria" w:hAnsi="Cambria" w:cs="Arial"/>
          <w:sz w:val="24"/>
          <w:szCs w:val="24"/>
          <w:lang w:val="en-US"/>
        </w:rPr>
        <w:t>. The ASEAN 4 countries have experienced economic pressure;</w:t>
      </w:r>
      <w:r w:rsidRPr="001D735D">
        <w:rPr>
          <w:rFonts w:ascii="Cambria" w:hAnsi="Cambria" w:cs="Arial"/>
          <w:sz w:val="24"/>
          <w:szCs w:val="24"/>
          <w:lang w:val="en-US"/>
        </w:rPr>
        <w:t xml:space="preserve"> to be precise, the global financial crisis in 2008 disrupted the economy. The research focus is only on four ASEAN countries, namely Indonesia, Malaysia, Thailand</w:t>
      </w:r>
      <w:r w:rsidR="00AB6227">
        <w:rPr>
          <w:rFonts w:ascii="Cambria" w:hAnsi="Cambria" w:cs="Arial"/>
          <w:sz w:val="24"/>
          <w:szCs w:val="24"/>
          <w:lang w:val="en-US"/>
        </w:rPr>
        <w:t>,</w:t>
      </w:r>
      <w:r w:rsidRPr="001D735D">
        <w:rPr>
          <w:rFonts w:ascii="Cambria" w:hAnsi="Cambria" w:cs="Arial"/>
          <w:sz w:val="24"/>
          <w:szCs w:val="24"/>
          <w:lang w:val="en-US"/>
        </w:rPr>
        <w:t xml:space="preserve"> and the Philippines, which are the regions affected by the 2008 global financial crisis in terms of the sharpest economic growth. Secondary data used in this research are the Gini coefficient, internet users, mobile-cellular subscriptions, imported ICT goods, ATM users</w:t>
      </w:r>
      <w:r w:rsidR="00AB6227">
        <w:rPr>
          <w:rFonts w:ascii="Cambria" w:hAnsi="Cambria" w:cs="Arial"/>
          <w:sz w:val="24"/>
          <w:szCs w:val="24"/>
          <w:lang w:val="en-US"/>
        </w:rPr>
        <w:t>,</w:t>
      </w:r>
      <w:r w:rsidRPr="001D735D">
        <w:rPr>
          <w:rFonts w:ascii="Cambria" w:hAnsi="Cambria" w:cs="Arial"/>
          <w:sz w:val="24"/>
          <w:szCs w:val="24"/>
          <w:lang w:val="en-US"/>
        </w:rPr>
        <w:t xml:space="preserve"> and Commercial bank branches. This data was obtained from several sources, namely the World Bank.</w:t>
      </w:r>
    </w:p>
    <w:p w14:paraId="39D9CD17" w14:textId="77777777" w:rsidR="00C270C0" w:rsidRPr="001D735D" w:rsidRDefault="00C270C0" w:rsidP="008F0CF1">
      <w:pPr>
        <w:spacing w:after="120" w:line="276" w:lineRule="auto"/>
        <w:ind w:firstLine="426"/>
        <w:jc w:val="both"/>
        <w:rPr>
          <w:rFonts w:ascii="Cambria" w:hAnsi="Cambria" w:cs="Arial"/>
          <w:sz w:val="24"/>
          <w:szCs w:val="24"/>
        </w:rPr>
      </w:pPr>
      <w:r w:rsidRPr="001D735D">
        <w:rPr>
          <w:rFonts w:ascii="Cambria" w:hAnsi="Cambria" w:cs="Arial"/>
          <w:sz w:val="24"/>
          <w:szCs w:val="24"/>
        </w:rPr>
        <w:t>This study utilizes panel data from 34 provinces in Indonesia, covering the period of  2020-2023. The data sources are as follows: </w:t>
      </w:r>
    </w:p>
    <w:p w14:paraId="098E5C80" w14:textId="77777777" w:rsidR="00C270C0" w:rsidRPr="001D735D" w:rsidRDefault="00C270C0" w:rsidP="008F0CF1">
      <w:pPr>
        <w:pStyle w:val="ListParagraph"/>
        <w:numPr>
          <w:ilvl w:val="0"/>
          <w:numId w:val="7"/>
        </w:numPr>
        <w:spacing w:after="120" w:line="276" w:lineRule="auto"/>
        <w:ind w:left="709" w:hanging="283"/>
        <w:jc w:val="both"/>
        <w:rPr>
          <w:rFonts w:ascii="Cambria" w:hAnsi="Cambria" w:cs="Arial"/>
          <w:sz w:val="24"/>
          <w:szCs w:val="24"/>
        </w:rPr>
      </w:pPr>
      <w:r w:rsidRPr="001D735D">
        <w:rPr>
          <w:rFonts w:ascii="Cambria" w:hAnsi="Cambria" w:cs="Arial"/>
          <w:sz w:val="24"/>
          <w:szCs w:val="24"/>
        </w:rPr>
        <w:t xml:space="preserve">The incidence of stunting data is obtained from the Indonesian Ministry of Health's  (2020-2023) reports on the prevalence of stunting in children under five years old. </w:t>
      </w:r>
    </w:p>
    <w:p w14:paraId="3C0359A5" w14:textId="77777777" w:rsidR="00C270C0" w:rsidRPr="001D735D" w:rsidRDefault="00C270C0" w:rsidP="008F0CF1">
      <w:pPr>
        <w:pStyle w:val="ListParagraph"/>
        <w:numPr>
          <w:ilvl w:val="0"/>
          <w:numId w:val="7"/>
        </w:numPr>
        <w:spacing w:after="120" w:line="276" w:lineRule="auto"/>
        <w:ind w:left="709" w:hanging="283"/>
        <w:jc w:val="both"/>
        <w:rPr>
          <w:rFonts w:ascii="Cambria" w:hAnsi="Cambria" w:cs="Arial"/>
          <w:sz w:val="24"/>
          <w:szCs w:val="24"/>
        </w:rPr>
      </w:pPr>
      <w:r w:rsidRPr="001D735D">
        <w:rPr>
          <w:rFonts w:ascii="Cambria" w:hAnsi="Cambria" w:cs="Arial"/>
          <w:sz w:val="24"/>
          <w:szCs w:val="24"/>
        </w:rPr>
        <w:t>The community development index data is sourced from the Indonesian Central  Bureau of Statistics' (2020-2023) reports on the community development index,  which measures the level of community development in each province.</w:t>
      </w:r>
    </w:p>
    <w:p w14:paraId="5A199589" w14:textId="77777777" w:rsidR="00C270C0" w:rsidRPr="001D735D" w:rsidRDefault="00C270C0" w:rsidP="008F0CF1">
      <w:pPr>
        <w:pStyle w:val="ListParagraph"/>
        <w:numPr>
          <w:ilvl w:val="0"/>
          <w:numId w:val="7"/>
        </w:numPr>
        <w:spacing w:after="120" w:line="276" w:lineRule="auto"/>
        <w:ind w:left="709" w:hanging="283"/>
        <w:jc w:val="both"/>
        <w:rPr>
          <w:rFonts w:ascii="Cambria" w:hAnsi="Cambria" w:cs="Arial"/>
          <w:sz w:val="24"/>
          <w:szCs w:val="24"/>
        </w:rPr>
      </w:pPr>
      <w:r w:rsidRPr="001D735D">
        <w:rPr>
          <w:rFonts w:ascii="Cambria" w:hAnsi="Cambria" w:cs="Arial"/>
          <w:sz w:val="24"/>
          <w:szCs w:val="24"/>
        </w:rPr>
        <w:t>The early marriage rate data is obtained from the Indonesian Central Bureau of  Statistics' (2020-2023) reports on the marriage rate in each province. </w:t>
      </w:r>
    </w:p>
    <w:p w14:paraId="77E268F4" w14:textId="77777777" w:rsidR="00C270C0" w:rsidRPr="001D735D" w:rsidRDefault="00C270C0" w:rsidP="008F0CF1">
      <w:pPr>
        <w:pStyle w:val="ListParagraph"/>
        <w:numPr>
          <w:ilvl w:val="0"/>
          <w:numId w:val="7"/>
        </w:numPr>
        <w:spacing w:after="120" w:line="276" w:lineRule="auto"/>
        <w:ind w:left="709" w:hanging="283"/>
        <w:jc w:val="both"/>
        <w:rPr>
          <w:rFonts w:ascii="Cambria" w:hAnsi="Cambria" w:cs="Arial"/>
          <w:sz w:val="24"/>
          <w:szCs w:val="24"/>
        </w:rPr>
      </w:pPr>
      <w:r w:rsidRPr="001D735D">
        <w:rPr>
          <w:rFonts w:ascii="Cambria" w:hAnsi="Cambria" w:cs="Arial"/>
          <w:sz w:val="24"/>
          <w:szCs w:val="24"/>
        </w:rPr>
        <w:t>The information and communication technology (ICT) index data is sourced from  the Indonesian Ministry of Communication and Information Technology's (2020- 2023) reports on the ICT development index, which measures the level of ICT  development in each province. </w:t>
      </w:r>
    </w:p>
    <w:p w14:paraId="3E018E50" w14:textId="7F3BC000" w:rsidR="00C270C0" w:rsidRPr="001D735D" w:rsidRDefault="00C270C0" w:rsidP="008F0CF1">
      <w:pPr>
        <w:pStyle w:val="ListParagraph"/>
        <w:numPr>
          <w:ilvl w:val="0"/>
          <w:numId w:val="7"/>
        </w:numPr>
        <w:spacing w:after="120" w:line="276" w:lineRule="auto"/>
        <w:ind w:left="709" w:hanging="283"/>
        <w:jc w:val="both"/>
        <w:rPr>
          <w:rFonts w:ascii="Cambria" w:hAnsi="Cambria" w:cs="Arial"/>
          <w:sz w:val="24"/>
          <w:szCs w:val="24"/>
        </w:rPr>
      </w:pPr>
      <w:r w:rsidRPr="001D735D">
        <w:rPr>
          <w:rFonts w:ascii="Cambria" w:hAnsi="Cambria" w:cs="Arial"/>
          <w:sz w:val="24"/>
          <w:szCs w:val="24"/>
        </w:rPr>
        <w:lastRenderedPageBreak/>
        <w:t>The gender inequality index data is obtained from the United Nations Development  Programme's (2020-2023) reports on the gender inequality index, which measures</w:t>
      </w:r>
      <w:r w:rsidR="00AB6227">
        <w:rPr>
          <w:rFonts w:ascii="Cambria" w:hAnsi="Cambria" w:cs="Arial"/>
          <w:sz w:val="24"/>
          <w:szCs w:val="24"/>
        </w:rPr>
        <w:t xml:space="preserve"> </w:t>
      </w:r>
      <w:r w:rsidRPr="001D735D">
        <w:rPr>
          <w:rFonts w:ascii="Cambria" w:hAnsi="Cambria" w:cs="Arial"/>
          <w:sz w:val="24"/>
          <w:szCs w:val="24"/>
        </w:rPr>
        <w:t>the level of gender inequality in each province. </w:t>
      </w:r>
    </w:p>
    <w:p w14:paraId="7D5E7118" w14:textId="39C9A9E2" w:rsidR="00C270C0" w:rsidRPr="001D735D" w:rsidRDefault="00C270C0" w:rsidP="00836192">
      <w:pPr>
        <w:spacing w:after="120" w:line="276" w:lineRule="auto"/>
        <w:ind w:firstLine="426"/>
        <w:jc w:val="both"/>
        <w:rPr>
          <w:rFonts w:ascii="Cambria" w:hAnsi="Cambria" w:cs="Arial"/>
          <w:sz w:val="24"/>
          <w:szCs w:val="24"/>
          <w:lang w:val="en-US"/>
        </w:rPr>
      </w:pPr>
      <w:r w:rsidRPr="001D735D">
        <w:rPr>
          <w:rFonts w:ascii="Cambria" w:hAnsi="Cambria" w:cs="Arial"/>
          <w:sz w:val="24"/>
          <w:szCs w:val="24"/>
          <w:lang w:val="en-US"/>
        </w:rPr>
        <w:t>This study employs a dynamic panel data analysis to examine the influence of the human development index, early marriage, ICT, and gender inequality index on the incidence of stunting in Indonesia</w:t>
      </w:r>
      <w:r w:rsidR="00D602E2" w:rsidRPr="001D735D">
        <w:rPr>
          <w:rFonts w:ascii="Cambria" w:hAnsi="Cambria" w:cs="Arial"/>
          <w:sz w:val="24"/>
          <w:szCs w:val="24"/>
          <w:lang w:val="en-US"/>
        </w:rPr>
        <w:t xml:space="preserve"> </w:t>
      </w:r>
      <w:r w:rsidR="00D602E2" w:rsidRPr="001D735D">
        <w:rPr>
          <w:rFonts w:ascii="Cambria" w:hAnsi="Cambria" w:cs="Arial"/>
          <w:sz w:val="24"/>
          <w:szCs w:val="24"/>
        </w:rPr>
        <w:t xml:space="preserve">using Stata 14 software. </w:t>
      </w:r>
    </w:p>
    <w:p w14:paraId="1B25CBB4" w14:textId="77777777" w:rsidR="00C270C0" w:rsidRPr="001D735D" w:rsidRDefault="00C270C0" w:rsidP="00836192">
      <w:pPr>
        <w:spacing w:after="120" w:line="276" w:lineRule="auto"/>
        <w:ind w:firstLine="426"/>
        <w:jc w:val="both"/>
        <w:rPr>
          <w:rFonts w:ascii="Cambria" w:hAnsi="Cambria" w:cs="Arial"/>
          <w:sz w:val="24"/>
          <w:szCs w:val="24"/>
        </w:rPr>
      </w:pPr>
      <w:r w:rsidRPr="001D735D">
        <w:rPr>
          <w:rFonts w:ascii="Cambria" w:hAnsi="Cambria" w:cs="Arial"/>
          <w:sz w:val="24"/>
          <w:szCs w:val="24"/>
        </w:rPr>
        <w:t>The dynamic panel data model for this study is specified as follows: </w:t>
      </w:r>
    </w:p>
    <w:p w14:paraId="5194D2B9" w14:textId="56E446F9" w:rsidR="00C270C0" w:rsidRPr="001D735D" w:rsidRDefault="00C270C0" w:rsidP="00C270C0">
      <w:pPr>
        <w:spacing w:after="120" w:line="276" w:lineRule="auto"/>
        <w:ind w:left="142" w:firstLine="218"/>
        <w:jc w:val="both"/>
        <w:rPr>
          <w:rFonts w:ascii="Cambria" w:hAnsi="Cambria" w:cs="Arial"/>
          <w:sz w:val="24"/>
          <w:szCs w:val="24"/>
          <w:lang w:val="en-US"/>
        </w:rPr>
      </w:pPr>
      <w:r w:rsidRPr="001D735D">
        <w:rPr>
          <w:rFonts w:ascii="Cambria" w:hAnsi="Cambria" w:cs="Arial"/>
          <w:noProof/>
          <w:sz w:val="24"/>
          <w:szCs w:val="24"/>
          <w:lang w:val="en-US"/>
        </w:rPr>
        <w:drawing>
          <wp:inline distT="0" distB="0" distL="0" distR="0" wp14:anchorId="49B1AECB" wp14:editId="58087102">
            <wp:extent cx="5475605" cy="276225"/>
            <wp:effectExtent l="0" t="0" r="0" b="9525"/>
            <wp:docPr id="1190319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5605" cy="276225"/>
                    </a:xfrm>
                    <a:prstGeom prst="rect">
                      <a:avLst/>
                    </a:prstGeom>
                    <a:noFill/>
                    <a:ln>
                      <a:noFill/>
                    </a:ln>
                  </pic:spPr>
                </pic:pic>
              </a:graphicData>
            </a:graphic>
          </wp:inline>
        </w:drawing>
      </w:r>
    </w:p>
    <w:p w14:paraId="0181DF2A" w14:textId="456B0F38" w:rsidR="00C270C0" w:rsidRPr="001D735D" w:rsidRDefault="00C270C0" w:rsidP="00836192">
      <w:pPr>
        <w:spacing w:after="120" w:line="276" w:lineRule="auto"/>
        <w:ind w:left="142" w:firstLine="284"/>
        <w:jc w:val="both"/>
        <w:rPr>
          <w:rFonts w:ascii="Cambria" w:hAnsi="Cambria" w:cs="Arial"/>
          <w:sz w:val="24"/>
          <w:szCs w:val="24"/>
          <w:lang w:val="en-US"/>
        </w:rPr>
      </w:pPr>
      <w:r w:rsidRPr="001D735D">
        <w:rPr>
          <w:rFonts w:ascii="Cambria" w:hAnsi="Cambria" w:cs="Arial"/>
          <w:sz w:val="24"/>
          <w:szCs w:val="24"/>
          <w:lang w:val="en-US"/>
        </w:rPr>
        <w:t>Where:</w:t>
      </w:r>
    </w:p>
    <w:p w14:paraId="53EAB7B6" w14:textId="169F4FF3" w:rsidR="00C270C0" w:rsidRPr="001D735D" w:rsidRDefault="00C270C0" w:rsidP="00C270C0">
      <w:pPr>
        <w:spacing w:after="120" w:line="276" w:lineRule="auto"/>
        <w:ind w:left="142" w:firstLine="218"/>
        <w:jc w:val="both"/>
        <w:rPr>
          <w:rFonts w:ascii="Cambria" w:hAnsi="Cambria" w:cs="Arial"/>
          <w:sz w:val="24"/>
          <w:szCs w:val="24"/>
          <w:lang w:val="en-US"/>
        </w:rPr>
      </w:pPr>
      <w:r w:rsidRPr="001D735D">
        <w:rPr>
          <w:rFonts w:ascii="Cambria" w:hAnsi="Cambria" w:cs="Arial"/>
          <w:noProof/>
          <w:sz w:val="24"/>
          <w:szCs w:val="24"/>
          <w:lang w:val="en-US"/>
        </w:rPr>
        <w:drawing>
          <wp:inline distT="0" distB="0" distL="0" distR="0" wp14:anchorId="55450773" wp14:editId="4051A121">
            <wp:extent cx="4561205" cy="2275205"/>
            <wp:effectExtent l="0" t="0" r="0" b="0"/>
            <wp:docPr id="1579670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1205" cy="2275205"/>
                    </a:xfrm>
                    <a:prstGeom prst="rect">
                      <a:avLst/>
                    </a:prstGeom>
                    <a:noFill/>
                    <a:ln>
                      <a:noFill/>
                    </a:ln>
                  </pic:spPr>
                </pic:pic>
              </a:graphicData>
            </a:graphic>
          </wp:inline>
        </w:drawing>
      </w:r>
    </w:p>
    <w:p w14:paraId="0E7DAF8C" w14:textId="694ABBD4" w:rsidR="00D602E2" w:rsidRPr="001D735D" w:rsidRDefault="00D602E2" w:rsidP="00836192">
      <w:pPr>
        <w:spacing w:after="0" w:line="276" w:lineRule="auto"/>
        <w:ind w:firstLine="426"/>
        <w:jc w:val="both"/>
        <w:rPr>
          <w:rFonts w:ascii="Cambria" w:eastAsia="Times New Roman" w:hAnsi="Cambria" w:cs="Arial"/>
          <w:kern w:val="0"/>
          <w:sz w:val="24"/>
          <w:szCs w:val="24"/>
          <w14:ligatures w14:val="none"/>
        </w:rPr>
      </w:pPr>
      <w:r w:rsidRPr="001D735D">
        <w:rPr>
          <w:rFonts w:ascii="Cambria" w:eastAsia="Times New Roman" w:hAnsi="Cambria" w:cs="Arial"/>
          <w:kern w:val="0"/>
          <w:sz w:val="24"/>
          <w:szCs w:val="24"/>
          <w14:ligatures w14:val="none"/>
        </w:rPr>
        <w:t>The parameters of the model were estimated using the generalized method of</w:t>
      </w:r>
      <w:r w:rsidR="00AB6227">
        <w:rPr>
          <w:rFonts w:ascii="Cambria" w:eastAsia="Times New Roman" w:hAnsi="Cambria" w:cs="Arial"/>
          <w:kern w:val="0"/>
          <w:sz w:val="24"/>
          <w:szCs w:val="24"/>
          <w14:ligatures w14:val="none"/>
        </w:rPr>
        <w:t xml:space="preserve"> </w:t>
      </w:r>
      <w:r w:rsidRPr="001D735D">
        <w:rPr>
          <w:rFonts w:ascii="Cambria" w:eastAsia="Times New Roman" w:hAnsi="Cambria" w:cs="Arial"/>
          <w:kern w:val="0"/>
          <w:sz w:val="24"/>
          <w:szCs w:val="24"/>
          <w14:ligatures w14:val="none"/>
        </w:rPr>
        <w:t>moments (GMM) estimation technique, which is suitable for dynamic panel data analysis  (Arellano &amp; Bond, 1991).</w:t>
      </w:r>
      <w:r w:rsidR="00836192">
        <w:rPr>
          <w:rFonts w:ascii="Cambria" w:eastAsia="Times New Roman" w:hAnsi="Cambria" w:cs="Arial"/>
          <w:kern w:val="0"/>
          <w:sz w:val="24"/>
          <w:szCs w:val="24"/>
          <w14:ligatures w14:val="none"/>
        </w:rPr>
        <w:t xml:space="preserve"> </w:t>
      </w:r>
      <w:r w:rsidRPr="001D735D">
        <w:rPr>
          <w:rFonts w:ascii="Cambria" w:eastAsia="Times New Roman" w:hAnsi="Cambria" w:cs="Arial"/>
          <w:kern w:val="0"/>
          <w:sz w:val="24"/>
          <w:szCs w:val="24"/>
          <w14:ligatures w14:val="none"/>
        </w:rPr>
        <w:t xml:space="preserve">Several diagnostic tests were conducted to ensure the validity of the model, including: </w:t>
      </w:r>
    </w:p>
    <w:p w14:paraId="28F8FC53" w14:textId="77777777" w:rsidR="00D602E2" w:rsidRPr="001D735D" w:rsidRDefault="00D602E2" w:rsidP="00562FB3">
      <w:pPr>
        <w:pStyle w:val="ListParagraph"/>
        <w:numPr>
          <w:ilvl w:val="0"/>
          <w:numId w:val="8"/>
        </w:numPr>
        <w:spacing w:after="0" w:line="276" w:lineRule="auto"/>
        <w:jc w:val="both"/>
        <w:rPr>
          <w:rFonts w:ascii="Cambria" w:eastAsia="Times New Roman" w:hAnsi="Cambria" w:cs="Arial"/>
          <w:kern w:val="0"/>
          <w:sz w:val="24"/>
          <w:szCs w:val="24"/>
          <w14:ligatures w14:val="none"/>
        </w:rPr>
      </w:pPr>
      <w:r w:rsidRPr="001D735D">
        <w:rPr>
          <w:rFonts w:ascii="Cambria" w:eastAsia="Times New Roman" w:hAnsi="Cambria" w:cs="Arial"/>
          <w:kern w:val="0"/>
          <w:sz w:val="24"/>
          <w:szCs w:val="24"/>
          <w14:ligatures w14:val="none"/>
        </w:rPr>
        <w:t>The Arellano-Bond test for autocorrelation  </w:t>
      </w:r>
    </w:p>
    <w:p w14:paraId="010E09DE" w14:textId="77777777" w:rsidR="00D602E2" w:rsidRPr="001D735D" w:rsidRDefault="00D602E2" w:rsidP="00562FB3">
      <w:pPr>
        <w:pStyle w:val="ListParagraph"/>
        <w:numPr>
          <w:ilvl w:val="0"/>
          <w:numId w:val="8"/>
        </w:numPr>
        <w:spacing w:after="0" w:line="276" w:lineRule="auto"/>
        <w:jc w:val="both"/>
        <w:rPr>
          <w:rFonts w:ascii="Cambria" w:eastAsia="Times New Roman" w:hAnsi="Cambria" w:cs="Arial"/>
          <w:kern w:val="0"/>
          <w:sz w:val="24"/>
          <w:szCs w:val="24"/>
          <w14:ligatures w14:val="none"/>
        </w:rPr>
      </w:pPr>
      <w:r w:rsidRPr="001D735D">
        <w:rPr>
          <w:rFonts w:ascii="Cambria" w:eastAsia="Times New Roman" w:hAnsi="Cambria" w:cs="Arial"/>
          <w:kern w:val="0"/>
          <w:sz w:val="24"/>
          <w:szCs w:val="24"/>
          <w14:ligatures w14:val="none"/>
        </w:rPr>
        <w:t xml:space="preserve">The </w:t>
      </w:r>
      <w:proofErr w:type="spellStart"/>
      <w:r w:rsidRPr="001D735D">
        <w:rPr>
          <w:rFonts w:ascii="Cambria" w:eastAsia="Times New Roman" w:hAnsi="Cambria" w:cs="Arial"/>
          <w:kern w:val="0"/>
          <w:sz w:val="24"/>
          <w:szCs w:val="24"/>
          <w14:ligatures w14:val="none"/>
        </w:rPr>
        <w:t>Sargan</w:t>
      </w:r>
      <w:proofErr w:type="spellEnd"/>
      <w:r w:rsidRPr="001D735D">
        <w:rPr>
          <w:rFonts w:ascii="Cambria" w:eastAsia="Times New Roman" w:hAnsi="Cambria" w:cs="Arial"/>
          <w:kern w:val="0"/>
          <w:sz w:val="24"/>
          <w:szCs w:val="24"/>
          <w14:ligatures w14:val="none"/>
        </w:rPr>
        <w:t xml:space="preserve"> test for over-identifying restrictions  </w:t>
      </w:r>
    </w:p>
    <w:p w14:paraId="3135C56D" w14:textId="2F664266" w:rsidR="00D602E2" w:rsidRPr="001D735D" w:rsidRDefault="00D602E2" w:rsidP="00562FB3">
      <w:pPr>
        <w:pStyle w:val="ListParagraph"/>
        <w:numPr>
          <w:ilvl w:val="0"/>
          <w:numId w:val="8"/>
        </w:numPr>
        <w:spacing w:after="0" w:line="276" w:lineRule="auto"/>
        <w:jc w:val="both"/>
        <w:rPr>
          <w:rFonts w:ascii="Cambria" w:eastAsia="Times New Roman" w:hAnsi="Cambria" w:cs="Arial"/>
          <w:kern w:val="0"/>
          <w:sz w:val="24"/>
          <w:szCs w:val="24"/>
          <w14:ligatures w14:val="none"/>
        </w:rPr>
      </w:pPr>
      <w:r w:rsidRPr="001D735D">
        <w:rPr>
          <w:rFonts w:ascii="Cambria" w:eastAsia="Times New Roman" w:hAnsi="Cambria" w:cs="Arial"/>
          <w:kern w:val="0"/>
          <w:sz w:val="24"/>
          <w:szCs w:val="24"/>
          <w14:ligatures w14:val="none"/>
        </w:rPr>
        <w:t>The Hansen test for instrument validity  </w:t>
      </w:r>
    </w:p>
    <w:p w14:paraId="181D12C3" w14:textId="77777777" w:rsidR="00D602E2" w:rsidRDefault="00D602E2" w:rsidP="00562FB3">
      <w:pPr>
        <w:spacing w:after="0" w:line="276" w:lineRule="auto"/>
        <w:jc w:val="both"/>
        <w:rPr>
          <w:rFonts w:ascii="Cambria" w:eastAsia="Times New Roman" w:hAnsi="Cambria" w:cs="Arial"/>
          <w:kern w:val="0"/>
          <w:sz w:val="24"/>
          <w:szCs w:val="24"/>
          <w:lang w:val="en-US"/>
          <w14:ligatures w14:val="none"/>
        </w:rPr>
      </w:pPr>
    </w:p>
    <w:p w14:paraId="10DDD510" w14:textId="77777777" w:rsidR="009442C8" w:rsidRDefault="009442C8" w:rsidP="00562FB3">
      <w:pPr>
        <w:spacing w:after="0" w:line="276" w:lineRule="auto"/>
        <w:jc w:val="both"/>
        <w:rPr>
          <w:rFonts w:ascii="Cambria" w:eastAsia="Times New Roman" w:hAnsi="Cambria" w:cs="Arial"/>
          <w:kern w:val="0"/>
          <w:sz w:val="24"/>
          <w:szCs w:val="24"/>
          <w:lang w:val="en-US"/>
          <w14:ligatures w14:val="none"/>
        </w:rPr>
      </w:pPr>
    </w:p>
    <w:p w14:paraId="1BD144E7" w14:textId="77777777" w:rsidR="009442C8" w:rsidRDefault="009442C8" w:rsidP="00562FB3">
      <w:pPr>
        <w:spacing w:after="0" w:line="276" w:lineRule="auto"/>
        <w:jc w:val="both"/>
        <w:rPr>
          <w:rFonts w:ascii="Cambria" w:eastAsia="Times New Roman" w:hAnsi="Cambria" w:cs="Arial"/>
          <w:kern w:val="0"/>
          <w:sz w:val="24"/>
          <w:szCs w:val="24"/>
          <w:lang w:val="en-US"/>
          <w14:ligatures w14:val="none"/>
        </w:rPr>
      </w:pPr>
    </w:p>
    <w:p w14:paraId="172D5ED4" w14:textId="77777777" w:rsidR="009442C8" w:rsidRDefault="009442C8" w:rsidP="00562FB3">
      <w:pPr>
        <w:spacing w:after="0" w:line="276" w:lineRule="auto"/>
        <w:jc w:val="both"/>
        <w:rPr>
          <w:rFonts w:ascii="Cambria" w:eastAsia="Times New Roman" w:hAnsi="Cambria" w:cs="Arial"/>
          <w:kern w:val="0"/>
          <w:sz w:val="24"/>
          <w:szCs w:val="24"/>
          <w:lang w:val="en-US"/>
          <w14:ligatures w14:val="none"/>
        </w:rPr>
      </w:pPr>
    </w:p>
    <w:p w14:paraId="66F99AFF" w14:textId="77777777" w:rsidR="009442C8" w:rsidRDefault="009442C8" w:rsidP="00562FB3">
      <w:pPr>
        <w:spacing w:after="0" w:line="276" w:lineRule="auto"/>
        <w:jc w:val="both"/>
        <w:rPr>
          <w:rFonts w:ascii="Cambria" w:eastAsia="Times New Roman" w:hAnsi="Cambria" w:cs="Arial"/>
          <w:kern w:val="0"/>
          <w:sz w:val="24"/>
          <w:szCs w:val="24"/>
          <w:lang w:val="en-US"/>
          <w14:ligatures w14:val="none"/>
        </w:rPr>
      </w:pPr>
    </w:p>
    <w:p w14:paraId="195001A1" w14:textId="77777777" w:rsidR="009442C8" w:rsidRDefault="009442C8" w:rsidP="00562FB3">
      <w:pPr>
        <w:spacing w:after="0" w:line="276" w:lineRule="auto"/>
        <w:jc w:val="both"/>
        <w:rPr>
          <w:rFonts w:ascii="Cambria" w:eastAsia="Times New Roman" w:hAnsi="Cambria" w:cs="Arial"/>
          <w:kern w:val="0"/>
          <w:sz w:val="24"/>
          <w:szCs w:val="24"/>
          <w:lang w:val="en-US"/>
          <w14:ligatures w14:val="none"/>
        </w:rPr>
      </w:pPr>
    </w:p>
    <w:p w14:paraId="22AB14C7" w14:textId="77777777" w:rsidR="009442C8" w:rsidRDefault="009442C8" w:rsidP="00562FB3">
      <w:pPr>
        <w:spacing w:after="0" w:line="276" w:lineRule="auto"/>
        <w:jc w:val="both"/>
        <w:rPr>
          <w:rFonts w:ascii="Cambria" w:eastAsia="Times New Roman" w:hAnsi="Cambria" w:cs="Arial"/>
          <w:kern w:val="0"/>
          <w:sz w:val="24"/>
          <w:szCs w:val="24"/>
          <w:lang w:val="en-US"/>
          <w14:ligatures w14:val="none"/>
        </w:rPr>
      </w:pPr>
    </w:p>
    <w:p w14:paraId="3EE0F4AA" w14:textId="77777777" w:rsidR="009442C8" w:rsidRDefault="009442C8" w:rsidP="00562FB3">
      <w:pPr>
        <w:spacing w:after="0" w:line="276" w:lineRule="auto"/>
        <w:jc w:val="both"/>
        <w:rPr>
          <w:rFonts w:ascii="Cambria" w:eastAsia="Times New Roman" w:hAnsi="Cambria" w:cs="Arial"/>
          <w:kern w:val="0"/>
          <w:sz w:val="24"/>
          <w:szCs w:val="24"/>
          <w:lang w:val="en-US"/>
          <w14:ligatures w14:val="none"/>
        </w:rPr>
      </w:pPr>
    </w:p>
    <w:p w14:paraId="5C38DE26" w14:textId="77777777" w:rsidR="00AB6227" w:rsidRDefault="00AB6227" w:rsidP="00562FB3">
      <w:pPr>
        <w:spacing w:after="0" w:line="276" w:lineRule="auto"/>
        <w:jc w:val="both"/>
        <w:rPr>
          <w:rFonts w:ascii="Cambria" w:eastAsia="Times New Roman" w:hAnsi="Cambria" w:cs="Arial"/>
          <w:kern w:val="0"/>
          <w:sz w:val="24"/>
          <w:szCs w:val="24"/>
          <w:lang w:val="en-US"/>
          <w14:ligatures w14:val="none"/>
        </w:rPr>
      </w:pPr>
    </w:p>
    <w:p w14:paraId="3B51F31C" w14:textId="77777777" w:rsidR="00AB6227" w:rsidRDefault="00AB6227" w:rsidP="00562FB3">
      <w:pPr>
        <w:spacing w:after="0" w:line="276" w:lineRule="auto"/>
        <w:jc w:val="both"/>
        <w:rPr>
          <w:rFonts w:ascii="Cambria" w:eastAsia="Times New Roman" w:hAnsi="Cambria" w:cs="Arial"/>
          <w:kern w:val="0"/>
          <w:sz w:val="24"/>
          <w:szCs w:val="24"/>
          <w:lang w:val="en-US"/>
          <w14:ligatures w14:val="none"/>
        </w:rPr>
      </w:pPr>
    </w:p>
    <w:p w14:paraId="27D1F27F" w14:textId="77777777" w:rsidR="009442C8" w:rsidRPr="001D735D" w:rsidRDefault="009442C8" w:rsidP="00562FB3">
      <w:pPr>
        <w:spacing w:after="0" w:line="276" w:lineRule="auto"/>
        <w:jc w:val="both"/>
        <w:rPr>
          <w:rFonts w:ascii="Cambria" w:eastAsia="Times New Roman" w:hAnsi="Cambria" w:cs="Arial"/>
          <w:kern w:val="0"/>
          <w:sz w:val="24"/>
          <w:szCs w:val="24"/>
          <w:lang w:val="en-US"/>
          <w14:ligatures w14:val="none"/>
        </w:rPr>
      </w:pPr>
    </w:p>
    <w:p w14:paraId="483EA64F" w14:textId="580A428A" w:rsidR="00E7382C" w:rsidRPr="001D735D" w:rsidRDefault="00E7382C" w:rsidP="00836192">
      <w:pPr>
        <w:pStyle w:val="ListParagraph"/>
        <w:numPr>
          <w:ilvl w:val="0"/>
          <w:numId w:val="11"/>
        </w:numPr>
        <w:spacing w:after="0" w:line="276" w:lineRule="auto"/>
        <w:ind w:left="426" w:hanging="426"/>
        <w:rPr>
          <w:rFonts w:ascii="Cambria" w:eastAsia="Times New Roman" w:hAnsi="Cambria" w:cs="Arial"/>
          <w:kern w:val="0"/>
          <w:sz w:val="24"/>
          <w:szCs w:val="24"/>
          <w:lang w:val="en-US"/>
          <w14:ligatures w14:val="none"/>
        </w:rPr>
      </w:pPr>
      <w:r w:rsidRPr="001D735D">
        <w:rPr>
          <w:rFonts w:ascii="Cambria" w:eastAsia="Times New Roman" w:hAnsi="Cambria" w:cs="Arial"/>
          <w:b/>
          <w:bCs/>
          <w:kern w:val="0"/>
          <w:sz w:val="24"/>
          <w:szCs w:val="24"/>
          <w:lang w:val="en-US"/>
          <w14:ligatures w14:val="none"/>
        </w:rPr>
        <w:lastRenderedPageBreak/>
        <w:t>Result and Discussion</w:t>
      </w:r>
    </w:p>
    <w:p w14:paraId="354106CD" w14:textId="77777777" w:rsidR="00D602E2" w:rsidRPr="001D735D" w:rsidRDefault="00D602E2" w:rsidP="00D602E2">
      <w:pPr>
        <w:pStyle w:val="ListParagraph"/>
        <w:spacing w:after="0" w:line="276" w:lineRule="auto"/>
        <w:ind w:left="360"/>
        <w:rPr>
          <w:rFonts w:ascii="Cambria" w:eastAsia="Times New Roman" w:hAnsi="Cambria" w:cs="Arial"/>
          <w:b/>
          <w:bCs/>
          <w:kern w:val="0"/>
          <w:sz w:val="24"/>
          <w:szCs w:val="24"/>
          <w:lang w:val="en-US"/>
          <w14:ligatures w14:val="none"/>
        </w:rPr>
      </w:pPr>
    </w:p>
    <w:p w14:paraId="3A686D84" w14:textId="4972E12B" w:rsidR="00D602E2" w:rsidRPr="00836192" w:rsidRDefault="00D602E2" w:rsidP="00421797">
      <w:pPr>
        <w:pStyle w:val="ListParagraph"/>
        <w:spacing w:after="0" w:line="276" w:lineRule="auto"/>
        <w:ind w:left="284"/>
        <w:jc w:val="center"/>
        <w:rPr>
          <w:rFonts w:ascii="Cambria" w:eastAsia="Times New Roman" w:hAnsi="Cambria" w:cs="Arial"/>
          <w:i/>
          <w:iCs/>
          <w:kern w:val="0"/>
          <w:sz w:val="24"/>
          <w:szCs w:val="24"/>
          <w:lang w:val="en-US"/>
          <w14:ligatures w14:val="none"/>
        </w:rPr>
      </w:pPr>
      <w:r w:rsidRPr="00836192">
        <w:rPr>
          <w:rFonts w:ascii="Cambria" w:eastAsia="Times New Roman" w:hAnsi="Cambria" w:cs="Arial"/>
          <w:i/>
          <w:iCs/>
          <w:kern w:val="0"/>
          <w:sz w:val="24"/>
          <w:szCs w:val="24"/>
          <w:lang w:val="en-US"/>
          <w14:ligatures w14:val="none"/>
        </w:rPr>
        <w:t xml:space="preserve">Table 1. </w:t>
      </w:r>
      <w:proofErr w:type="spellStart"/>
      <w:r w:rsidRPr="00836192">
        <w:rPr>
          <w:rFonts w:ascii="Cambria" w:eastAsia="Times New Roman" w:hAnsi="Cambria" w:cs="Arial"/>
          <w:i/>
          <w:iCs/>
          <w:kern w:val="0"/>
          <w:sz w:val="24"/>
          <w:szCs w:val="24"/>
          <w:lang w:val="en-US"/>
          <w14:ligatures w14:val="none"/>
        </w:rPr>
        <w:t>Desriptive</w:t>
      </w:r>
      <w:proofErr w:type="spellEnd"/>
      <w:r w:rsidRPr="00836192">
        <w:rPr>
          <w:rFonts w:ascii="Cambria" w:eastAsia="Times New Roman" w:hAnsi="Cambria" w:cs="Arial"/>
          <w:i/>
          <w:iCs/>
          <w:kern w:val="0"/>
          <w:sz w:val="24"/>
          <w:szCs w:val="24"/>
          <w:lang w:val="en-US"/>
          <w14:ligatures w14:val="none"/>
        </w:rPr>
        <w:t xml:space="preserve"> Statistic</w:t>
      </w:r>
    </w:p>
    <w:p w14:paraId="7129A2D8" w14:textId="46EB1144" w:rsidR="0081151B" w:rsidRPr="001D735D" w:rsidRDefault="0081151B" w:rsidP="00D602E2">
      <w:pPr>
        <w:spacing w:after="0" w:line="276" w:lineRule="auto"/>
        <w:jc w:val="both"/>
        <w:rPr>
          <w:rFonts w:ascii="Cambria" w:hAnsi="Cambria" w:cs="Arial"/>
          <w:sz w:val="24"/>
          <w:szCs w:val="24"/>
          <w:lang w:val="en-US"/>
        </w:rPr>
      </w:pPr>
    </w:p>
    <w:p w14:paraId="4FB68515" w14:textId="2787AC05" w:rsidR="0081151B" w:rsidRDefault="00D602E2" w:rsidP="006F4D01">
      <w:pPr>
        <w:spacing w:after="0" w:line="276" w:lineRule="auto"/>
        <w:ind w:firstLine="720"/>
        <w:jc w:val="both"/>
        <w:rPr>
          <w:rFonts w:ascii="Cambria" w:hAnsi="Cambria" w:cs="Arial"/>
          <w:sz w:val="24"/>
          <w:szCs w:val="24"/>
          <w:lang w:val="en-US"/>
        </w:rPr>
      </w:pPr>
      <w:r w:rsidRPr="001D735D">
        <w:rPr>
          <w:rFonts w:ascii="Cambria" w:hAnsi="Cambria" w:cs="Arial"/>
          <w:noProof/>
          <w:sz w:val="24"/>
          <w:szCs w:val="24"/>
          <w:lang w:val="en-US"/>
        </w:rPr>
        <w:drawing>
          <wp:inline distT="0" distB="0" distL="0" distR="0" wp14:anchorId="0BBF848B" wp14:editId="2B6D9F5E">
            <wp:extent cx="4274185" cy="956945"/>
            <wp:effectExtent l="0" t="0" r="0" b="0"/>
            <wp:docPr id="21379590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185" cy="956945"/>
                    </a:xfrm>
                    <a:prstGeom prst="rect">
                      <a:avLst/>
                    </a:prstGeom>
                    <a:noFill/>
                    <a:ln>
                      <a:noFill/>
                    </a:ln>
                  </pic:spPr>
                </pic:pic>
              </a:graphicData>
            </a:graphic>
          </wp:inline>
        </w:drawing>
      </w:r>
    </w:p>
    <w:p w14:paraId="47AA1B76" w14:textId="3A7BDBF4" w:rsidR="00421797" w:rsidRPr="00421797" w:rsidRDefault="00421797" w:rsidP="00421797">
      <w:pPr>
        <w:spacing w:after="0" w:line="276" w:lineRule="auto"/>
        <w:ind w:left="284"/>
        <w:jc w:val="center"/>
        <w:rPr>
          <w:rFonts w:ascii="Cambria" w:hAnsi="Cambria" w:cs="Arial"/>
          <w:i/>
          <w:iCs/>
          <w:sz w:val="24"/>
          <w:szCs w:val="24"/>
          <w:lang w:val="en-US"/>
        </w:rPr>
      </w:pPr>
      <w:r>
        <w:rPr>
          <w:rFonts w:ascii="Cambria" w:hAnsi="Cambria" w:cs="Arial"/>
          <w:i/>
          <w:iCs/>
          <w:sz w:val="24"/>
          <w:szCs w:val="24"/>
          <w:lang w:val="en-US"/>
        </w:rPr>
        <w:t>Source: Author</w:t>
      </w:r>
    </w:p>
    <w:p w14:paraId="6EF49BAD" w14:textId="77777777" w:rsidR="00836192" w:rsidRPr="001D735D" w:rsidRDefault="00836192" w:rsidP="009442C8">
      <w:pPr>
        <w:spacing w:after="120" w:line="276" w:lineRule="auto"/>
        <w:rPr>
          <w:rFonts w:ascii="Cambria" w:hAnsi="Cambria" w:cs="Arial"/>
          <w:i/>
          <w:iCs/>
          <w:sz w:val="24"/>
          <w:szCs w:val="24"/>
          <w:lang w:val="en-US"/>
        </w:rPr>
      </w:pPr>
    </w:p>
    <w:p w14:paraId="46551D3B" w14:textId="66683DB6" w:rsidR="00D602E2" w:rsidRPr="00836192" w:rsidRDefault="00D602E2" w:rsidP="00D602E2">
      <w:pPr>
        <w:spacing w:after="120" w:line="276" w:lineRule="auto"/>
        <w:ind w:firstLine="284"/>
        <w:jc w:val="center"/>
        <w:rPr>
          <w:rFonts w:ascii="Cambria" w:hAnsi="Cambria" w:cs="Arial"/>
          <w:i/>
          <w:iCs/>
          <w:sz w:val="24"/>
          <w:szCs w:val="24"/>
          <w:lang w:val="en-US"/>
        </w:rPr>
      </w:pPr>
      <w:r w:rsidRPr="00836192">
        <w:rPr>
          <w:rFonts w:ascii="Cambria" w:hAnsi="Cambria" w:cs="Arial"/>
          <w:i/>
          <w:iCs/>
          <w:sz w:val="24"/>
          <w:szCs w:val="24"/>
          <w:lang w:val="en-US"/>
        </w:rPr>
        <w:t>Table 2. Regression FEM</w:t>
      </w:r>
    </w:p>
    <w:p w14:paraId="6056645D" w14:textId="1683563D" w:rsidR="00D602E2" w:rsidRDefault="00D602E2" w:rsidP="00D602E2">
      <w:pPr>
        <w:spacing w:after="120" w:line="276" w:lineRule="auto"/>
        <w:ind w:firstLine="284"/>
        <w:jc w:val="center"/>
        <w:rPr>
          <w:rFonts w:ascii="Cambria" w:hAnsi="Cambria" w:cs="Arial"/>
          <w:sz w:val="24"/>
          <w:szCs w:val="24"/>
          <w:lang w:val="en-US"/>
        </w:rPr>
      </w:pPr>
      <w:r w:rsidRPr="001D735D">
        <w:rPr>
          <w:rFonts w:ascii="Cambria" w:hAnsi="Cambria" w:cs="Arial"/>
          <w:noProof/>
          <w:sz w:val="24"/>
          <w:szCs w:val="24"/>
          <w:lang w:val="en-US"/>
        </w:rPr>
        <w:drawing>
          <wp:inline distT="0" distB="0" distL="0" distR="0" wp14:anchorId="6411FDCE" wp14:editId="5DDD86A5">
            <wp:extent cx="5156835" cy="1626870"/>
            <wp:effectExtent l="0" t="0" r="5715" b="0"/>
            <wp:docPr id="64900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6835" cy="1626870"/>
                    </a:xfrm>
                    <a:prstGeom prst="rect">
                      <a:avLst/>
                    </a:prstGeom>
                    <a:noFill/>
                    <a:ln>
                      <a:noFill/>
                    </a:ln>
                  </pic:spPr>
                </pic:pic>
              </a:graphicData>
            </a:graphic>
          </wp:inline>
        </w:drawing>
      </w:r>
    </w:p>
    <w:p w14:paraId="5F0CD077" w14:textId="59495284" w:rsidR="00421797" w:rsidRPr="00421797" w:rsidRDefault="00421797" w:rsidP="00421797">
      <w:pPr>
        <w:spacing w:after="120" w:line="276" w:lineRule="auto"/>
        <w:ind w:left="284"/>
        <w:jc w:val="center"/>
        <w:rPr>
          <w:rFonts w:ascii="Cambria" w:hAnsi="Cambria" w:cs="Arial"/>
          <w:i/>
          <w:iCs/>
          <w:sz w:val="24"/>
          <w:szCs w:val="24"/>
          <w:lang w:val="en-US"/>
        </w:rPr>
      </w:pPr>
      <w:r>
        <w:rPr>
          <w:rFonts w:ascii="Cambria" w:hAnsi="Cambria" w:cs="Arial"/>
          <w:i/>
          <w:iCs/>
          <w:sz w:val="24"/>
          <w:szCs w:val="24"/>
          <w:lang w:val="en-US"/>
        </w:rPr>
        <w:t>Source: Author</w:t>
      </w:r>
    </w:p>
    <w:p w14:paraId="33C584A3" w14:textId="00EDCBC7" w:rsidR="00562FB3" w:rsidRPr="001D735D" w:rsidRDefault="00562FB3" w:rsidP="00836192">
      <w:pPr>
        <w:spacing w:after="120" w:line="276" w:lineRule="auto"/>
        <w:ind w:firstLine="426"/>
        <w:jc w:val="both"/>
        <w:rPr>
          <w:rFonts w:ascii="Cambria" w:hAnsi="Cambria" w:cs="Arial"/>
          <w:sz w:val="24"/>
          <w:szCs w:val="24"/>
          <w:lang w:val="en-US"/>
        </w:rPr>
      </w:pPr>
      <w:r w:rsidRPr="001D735D">
        <w:rPr>
          <w:rFonts w:ascii="Cambria" w:hAnsi="Cambria" w:cs="Arial"/>
          <w:sz w:val="24"/>
          <w:szCs w:val="24"/>
        </w:rPr>
        <w:t>This study examines the influence of the Human development index, early marriage,  information and communication technology, and gender inequality index on the incidence  of stunting in Indonesia using panel data from 34 provinces for the 2020-2023 period.  The dynamic panel data analysis reveals that the community development index, early  marriage, and gender inequality index don’t have a significant impact on the incidence of  stunting in Indonesia.</w:t>
      </w:r>
    </w:p>
    <w:p w14:paraId="6330586E" w14:textId="77777777" w:rsidR="0081151B" w:rsidRPr="001D735D" w:rsidRDefault="0081151B" w:rsidP="00836192">
      <w:pPr>
        <w:spacing w:after="0" w:line="276" w:lineRule="auto"/>
        <w:ind w:firstLine="426"/>
        <w:jc w:val="both"/>
        <w:rPr>
          <w:rFonts w:ascii="Cambria" w:hAnsi="Cambria" w:cs="Arial"/>
          <w:sz w:val="24"/>
          <w:szCs w:val="24"/>
          <w:lang w:val="en-US"/>
        </w:rPr>
      </w:pPr>
    </w:p>
    <w:p w14:paraId="65E98F27" w14:textId="78483F7F" w:rsidR="00562FB3" w:rsidRPr="001D735D" w:rsidRDefault="00562FB3" w:rsidP="00836192">
      <w:pPr>
        <w:ind w:firstLine="426"/>
        <w:jc w:val="both"/>
        <w:rPr>
          <w:rFonts w:ascii="Cambria" w:hAnsi="Cambria" w:cs="Arial"/>
          <w:sz w:val="24"/>
          <w:szCs w:val="24"/>
        </w:rPr>
      </w:pPr>
      <w:r w:rsidRPr="001D735D">
        <w:rPr>
          <w:rFonts w:ascii="Cambria" w:hAnsi="Cambria" w:cs="Arial"/>
          <w:sz w:val="24"/>
          <w:szCs w:val="24"/>
        </w:rPr>
        <w:t xml:space="preserve">The results of this study also indicate that the Human Development Index (HDI) has  no significant impact on the incidence of stunting in Indonesia. This finding suggests that  HDI, which is a composite measure of health, education, and income, may not be a  significant determinant of stunting in children, at least in the context of Indonesia. This  result is surprising, given that HDI is often used as a proxy for socioeconomic  development and is expected to have a positive impact on health outcomes, including  stunting. However, it is possible that the relationship between HDI and stunting is more  complex and indirect, and may be influenced by other factors such as nutrition,  healthcare, and environmental factors. One possible explanation for this finding is that  HDI may not capture the specific aspects of socioeconomic development that are most  relevant to stunting. For example, while HDI includes measures of education and income,  it may not capture the quality of education or the distribution of income, which may be  more important determinants of stunting. Another possible </w:t>
      </w:r>
      <w:r w:rsidRPr="001D735D">
        <w:rPr>
          <w:rFonts w:ascii="Cambria" w:hAnsi="Cambria" w:cs="Arial"/>
          <w:sz w:val="24"/>
          <w:szCs w:val="24"/>
        </w:rPr>
        <w:lastRenderedPageBreak/>
        <w:t>explanation is that the impact</w:t>
      </w:r>
      <w:r w:rsidR="00AB6227">
        <w:rPr>
          <w:rFonts w:ascii="Cambria" w:hAnsi="Cambria" w:cs="Arial"/>
          <w:sz w:val="24"/>
          <w:szCs w:val="24"/>
        </w:rPr>
        <w:t xml:space="preserve"> </w:t>
      </w:r>
      <w:r w:rsidRPr="001D735D">
        <w:rPr>
          <w:rFonts w:ascii="Cambria" w:hAnsi="Cambria" w:cs="Arial"/>
          <w:sz w:val="24"/>
          <w:szCs w:val="24"/>
        </w:rPr>
        <w:t>of HDI on stunting may be mediated by other factors, such as access to healthcare,  sanitation, and nutrition. Further research is needed to explore these potential mechanisms</w:t>
      </w:r>
      <w:r w:rsidR="00AB6227">
        <w:rPr>
          <w:rFonts w:ascii="Cambria" w:hAnsi="Cambria" w:cs="Arial"/>
          <w:sz w:val="24"/>
          <w:szCs w:val="24"/>
        </w:rPr>
        <w:t xml:space="preserve"> </w:t>
      </w:r>
      <w:r w:rsidRPr="001D735D">
        <w:rPr>
          <w:rFonts w:ascii="Cambria" w:hAnsi="Cambria" w:cs="Arial"/>
          <w:sz w:val="24"/>
          <w:szCs w:val="24"/>
        </w:rPr>
        <w:t>and to better understand the relationship between HDI and stunting. The lack of</w:t>
      </w:r>
      <w:r w:rsidR="00AB6227">
        <w:rPr>
          <w:rFonts w:ascii="Cambria" w:hAnsi="Cambria" w:cs="Arial"/>
          <w:sz w:val="24"/>
          <w:szCs w:val="24"/>
        </w:rPr>
        <w:t xml:space="preserve"> </w:t>
      </w:r>
      <w:r w:rsidRPr="001D735D">
        <w:rPr>
          <w:rFonts w:ascii="Cambria" w:hAnsi="Cambria" w:cs="Arial"/>
          <w:sz w:val="24"/>
          <w:szCs w:val="24"/>
        </w:rPr>
        <w:t>significance of HDI in this study is consistent with previous studies that have found that  HDI is not always a strong predictor of health outcomes (Wagstaff, 2002). However, it is</w:t>
      </w:r>
      <w:r w:rsidR="00AB6227">
        <w:rPr>
          <w:rFonts w:ascii="Cambria" w:hAnsi="Cambria" w:cs="Arial"/>
          <w:sz w:val="24"/>
          <w:szCs w:val="24"/>
        </w:rPr>
        <w:t xml:space="preserve"> </w:t>
      </w:r>
      <w:r w:rsidRPr="001D735D">
        <w:rPr>
          <w:rFonts w:ascii="Cambria" w:hAnsi="Cambria" w:cs="Arial"/>
          <w:sz w:val="24"/>
          <w:szCs w:val="24"/>
        </w:rPr>
        <w:t>important to note that HDI remains an important indicator of socioeconomic development</w:t>
      </w:r>
      <w:r w:rsidR="00AB6227">
        <w:rPr>
          <w:rFonts w:ascii="Cambria" w:hAnsi="Cambria" w:cs="Arial"/>
          <w:sz w:val="24"/>
          <w:szCs w:val="24"/>
        </w:rPr>
        <w:t xml:space="preserve"> </w:t>
      </w:r>
      <w:r w:rsidRPr="001D735D">
        <w:rPr>
          <w:rFonts w:ascii="Cambria" w:hAnsi="Cambria" w:cs="Arial"/>
          <w:sz w:val="24"/>
          <w:szCs w:val="24"/>
        </w:rPr>
        <w:t xml:space="preserve">and can still have an impact on health outcomes through other mechanisms. </w:t>
      </w:r>
    </w:p>
    <w:p w14:paraId="215541FC" w14:textId="32DED291" w:rsidR="00562FB3" w:rsidRPr="001D735D" w:rsidRDefault="00562FB3" w:rsidP="00836192">
      <w:pPr>
        <w:ind w:firstLine="426"/>
        <w:jc w:val="both"/>
        <w:rPr>
          <w:rFonts w:ascii="Cambria" w:hAnsi="Cambria" w:cs="Arial"/>
          <w:sz w:val="24"/>
          <w:szCs w:val="24"/>
        </w:rPr>
      </w:pPr>
      <w:r w:rsidRPr="001D735D">
        <w:rPr>
          <w:rFonts w:ascii="Cambria" w:hAnsi="Cambria" w:cs="Arial"/>
          <w:sz w:val="24"/>
          <w:szCs w:val="24"/>
        </w:rPr>
        <w:t>This study aimed to investigate the relationship between early marriage and stunting</w:t>
      </w:r>
      <w:r w:rsidR="00AB6227">
        <w:rPr>
          <w:rFonts w:ascii="Cambria" w:hAnsi="Cambria" w:cs="Arial"/>
          <w:sz w:val="24"/>
          <w:szCs w:val="24"/>
        </w:rPr>
        <w:t xml:space="preserve"> </w:t>
      </w:r>
      <w:r w:rsidRPr="001D735D">
        <w:rPr>
          <w:rFonts w:ascii="Cambria" w:hAnsi="Cambria" w:cs="Arial"/>
          <w:sz w:val="24"/>
          <w:szCs w:val="24"/>
        </w:rPr>
        <w:t>in children in Indonesia. Contrary to expectations, our analysis revealed that early</w:t>
      </w:r>
      <w:r w:rsidR="00AB6227">
        <w:rPr>
          <w:rFonts w:ascii="Cambria" w:hAnsi="Cambria" w:cs="Arial"/>
          <w:sz w:val="24"/>
          <w:szCs w:val="24"/>
        </w:rPr>
        <w:t xml:space="preserve"> </w:t>
      </w:r>
      <w:r w:rsidRPr="001D735D">
        <w:rPr>
          <w:rFonts w:ascii="Cambria" w:hAnsi="Cambria" w:cs="Arial"/>
          <w:sz w:val="24"/>
          <w:szCs w:val="24"/>
        </w:rPr>
        <w:t>marriage has no significant impact on the incidence of stunting in Indonesia. This finding</w:t>
      </w:r>
      <w:r w:rsidR="00AB6227">
        <w:rPr>
          <w:rFonts w:ascii="Cambria" w:hAnsi="Cambria" w:cs="Arial"/>
          <w:sz w:val="24"/>
          <w:szCs w:val="24"/>
        </w:rPr>
        <w:t xml:space="preserve"> </w:t>
      </w:r>
      <w:r w:rsidRPr="001D735D">
        <w:rPr>
          <w:rFonts w:ascii="Cambria" w:hAnsi="Cambria" w:cs="Arial"/>
          <w:sz w:val="24"/>
          <w:szCs w:val="24"/>
        </w:rPr>
        <w:t>suggests that early marriage, a common practice in many parts of Indonesia, may not be</w:t>
      </w:r>
      <w:r w:rsidR="00AB6227">
        <w:rPr>
          <w:rFonts w:ascii="Cambria" w:hAnsi="Cambria" w:cs="Arial"/>
          <w:sz w:val="24"/>
          <w:szCs w:val="24"/>
        </w:rPr>
        <w:t xml:space="preserve"> </w:t>
      </w:r>
      <w:r w:rsidRPr="001D735D">
        <w:rPr>
          <w:rFonts w:ascii="Cambria" w:hAnsi="Cambria" w:cs="Arial"/>
          <w:sz w:val="24"/>
          <w:szCs w:val="24"/>
        </w:rPr>
        <w:t>a significant determinant of stunting in children. Another possible explanation is that the</w:t>
      </w:r>
      <w:r w:rsidR="00AB6227">
        <w:rPr>
          <w:rFonts w:ascii="Cambria" w:hAnsi="Cambria" w:cs="Arial"/>
          <w:sz w:val="24"/>
          <w:szCs w:val="24"/>
        </w:rPr>
        <w:t xml:space="preserve"> </w:t>
      </w:r>
      <w:r w:rsidRPr="001D735D">
        <w:rPr>
          <w:rFonts w:ascii="Cambria" w:hAnsi="Cambria" w:cs="Arial"/>
          <w:sz w:val="24"/>
          <w:szCs w:val="24"/>
        </w:rPr>
        <w:t>impact of early marriage on stunting may be mediated by other factors, such as the age of the mother at first birth, the number of children, and the quality of childcare. Further</w:t>
      </w:r>
      <w:r w:rsidR="00AB6227">
        <w:rPr>
          <w:rFonts w:ascii="Cambria" w:hAnsi="Cambria" w:cs="Arial"/>
          <w:sz w:val="24"/>
          <w:szCs w:val="24"/>
        </w:rPr>
        <w:t xml:space="preserve"> </w:t>
      </w:r>
      <w:r w:rsidRPr="001D735D">
        <w:rPr>
          <w:rFonts w:ascii="Cambria" w:hAnsi="Cambria" w:cs="Arial"/>
          <w:sz w:val="24"/>
          <w:szCs w:val="24"/>
        </w:rPr>
        <w:t>research is needed to explore these potential mechanisms and to better understand the</w:t>
      </w:r>
      <w:r w:rsidR="00AB6227">
        <w:rPr>
          <w:rFonts w:ascii="Cambria" w:hAnsi="Cambria" w:cs="Arial"/>
          <w:sz w:val="24"/>
          <w:szCs w:val="24"/>
        </w:rPr>
        <w:t xml:space="preserve"> </w:t>
      </w:r>
      <w:r w:rsidRPr="001D735D">
        <w:rPr>
          <w:rFonts w:ascii="Cambria" w:hAnsi="Cambria" w:cs="Arial"/>
          <w:sz w:val="24"/>
          <w:szCs w:val="24"/>
        </w:rPr>
        <w:t>relationship between early marriage and stunting. The lack of significance of early  marriage in this study is consistent with previous studies that have found that the  relationship between early marriage and health outcomes is complex and context dependent. However, it is important to note that early marriage remains a significant  social and health issue in many parts of Indonesia, and efforts to prevent early marriage  and support married adolescents should continue. </w:t>
      </w:r>
    </w:p>
    <w:p w14:paraId="06A9387F" w14:textId="77777777" w:rsidR="00562FB3" w:rsidRPr="001D735D" w:rsidRDefault="00562FB3" w:rsidP="00836192">
      <w:pPr>
        <w:ind w:firstLine="426"/>
        <w:jc w:val="both"/>
        <w:rPr>
          <w:rFonts w:ascii="Cambria" w:hAnsi="Cambria" w:cs="Arial"/>
          <w:sz w:val="24"/>
          <w:szCs w:val="24"/>
        </w:rPr>
      </w:pPr>
      <w:r w:rsidRPr="001D735D">
        <w:rPr>
          <w:rFonts w:ascii="Cambria" w:hAnsi="Cambria" w:cs="Arial"/>
          <w:sz w:val="24"/>
          <w:szCs w:val="24"/>
        </w:rPr>
        <w:t>However, the results of this study also indicate that the information and  communication technology (ICT) index has no significant impact on the incidence of  stunting in Indonesia. This finding suggests that ICT may not be a significant determinant  of stunting in children, at least in the context of Indonesia. One possible explanation for  this finding is that ICT may not have a direct impact on the nutritional status of children,  which is a key determinant of stunting. While ICT can improve access to information and  services, it may not necessarily translate to improved nutrition and health outcomes for  children. Another possible explanation is that the impact of ICT on stunting may be  indirect, and may be mediated by other factors such as education, income, and access to  healthcare. Further research is needed to explore these potential mechanisms and to better  understand the relationship between ICT and stunting. The lack of significance of ICT in  this study is consistent with previous studies that have found that ICT has limited impact  on health outcomes in developing countries (Kumar et al., 2018). However, it is important  to note that ICT can still have an important role in improving health outcomes,  particularly in terms of improving access to information and services. </w:t>
      </w:r>
    </w:p>
    <w:p w14:paraId="1D5477B1" w14:textId="10D24115" w:rsidR="00562FB3" w:rsidRPr="001D735D" w:rsidRDefault="00562FB3" w:rsidP="00836192">
      <w:pPr>
        <w:ind w:firstLine="426"/>
        <w:jc w:val="both"/>
        <w:rPr>
          <w:rFonts w:ascii="Cambria" w:hAnsi="Cambria" w:cs="Arial"/>
          <w:sz w:val="24"/>
          <w:szCs w:val="24"/>
        </w:rPr>
      </w:pPr>
      <w:r w:rsidRPr="001D735D">
        <w:rPr>
          <w:rFonts w:ascii="Cambria" w:hAnsi="Cambria" w:cs="Arial"/>
          <w:sz w:val="24"/>
          <w:szCs w:val="24"/>
        </w:rPr>
        <w:t xml:space="preserve">This study aimed to investigate the relationship between gender inequality and  stunting in children in Indonesia. Contrary to expectations, our analysis revealed that the  gender inequality index has no significant impact on the incidence of stunting in  Indonesia. This finding suggests that gender inequality, a pervasive issue in many </w:t>
      </w:r>
      <w:r w:rsidRPr="001D735D">
        <w:rPr>
          <w:rFonts w:ascii="Cambria" w:hAnsi="Cambria" w:cs="Arial"/>
          <w:sz w:val="24"/>
          <w:szCs w:val="24"/>
        </w:rPr>
        <w:lastRenderedPageBreak/>
        <w:t>parts  of Indonesia, may not be a significant determinant of stunting in children. Another  possible explanation is that the gender inequality index used in this study may not fully  capture the complexity of gender inequality in Indonesia. Gender inequality can manifest  in many ways, including discrimination, violence, and limited access to resources and opportunities. The index used in this study may not have fully captured these nuances,  which could have led to an underestimation of the impact of gender inequality on stunting. </w:t>
      </w:r>
    </w:p>
    <w:p w14:paraId="487C1ECA" w14:textId="4949CD37" w:rsidR="00562FB3" w:rsidRPr="001D735D" w:rsidRDefault="00562FB3" w:rsidP="00562FB3">
      <w:pPr>
        <w:ind w:left="-142" w:firstLine="142"/>
        <w:jc w:val="both"/>
        <w:rPr>
          <w:rFonts w:ascii="Cambria" w:hAnsi="Cambria" w:cs="Arial"/>
          <w:b/>
          <w:bCs/>
          <w:sz w:val="24"/>
          <w:szCs w:val="24"/>
        </w:rPr>
      </w:pPr>
      <w:r w:rsidRPr="001D735D">
        <w:rPr>
          <w:rFonts w:ascii="Cambria" w:hAnsi="Cambria" w:cs="Arial"/>
          <w:b/>
          <w:bCs/>
          <w:sz w:val="24"/>
          <w:szCs w:val="24"/>
        </w:rPr>
        <w:t>Diagnostic Test:</w:t>
      </w:r>
    </w:p>
    <w:p w14:paraId="4D5C3384" w14:textId="07732205" w:rsidR="00562FB3" w:rsidRPr="001D735D" w:rsidRDefault="00562FB3" w:rsidP="00836192">
      <w:pPr>
        <w:pStyle w:val="ListParagraph"/>
        <w:numPr>
          <w:ilvl w:val="0"/>
          <w:numId w:val="9"/>
        </w:numPr>
        <w:ind w:left="851" w:hanging="425"/>
        <w:jc w:val="both"/>
        <w:rPr>
          <w:rFonts w:ascii="Cambria" w:hAnsi="Cambria" w:cs="Arial"/>
          <w:sz w:val="24"/>
          <w:szCs w:val="24"/>
        </w:rPr>
      </w:pPr>
      <w:r w:rsidRPr="001D735D">
        <w:rPr>
          <w:rFonts w:ascii="Cambria" w:hAnsi="Cambria" w:cs="Arial"/>
          <w:sz w:val="24"/>
          <w:szCs w:val="24"/>
        </w:rPr>
        <w:t xml:space="preserve">The </w:t>
      </w:r>
      <w:proofErr w:type="spellStart"/>
      <w:r w:rsidRPr="001D735D">
        <w:rPr>
          <w:rFonts w:ascii="Cambria" w:hAnsi="Cambria" w:cs="Arial"/>
          <w:sz w:val="24"/>
          <w:szCs w:val="24"/>
        </w:rPr>
        <w:t>Sargan</w:t>
      </w:r>
      <w:proofErr w:type="spellEnd"/>
      <w:r w:rsidRPr="001D735D">
        <w:rPr>
          <w:rFonts w:ascii="Cambria" w:hAnsi="Cambria" w:cs="Arial"/>
          <w:sz w:val="24"/>
          <w:szCs w:val="24"/>
        </w:rPr>
        <w:t xml:space="preserve"> test shows that the instrument used in the GMM model is valid with a  p-value of 0.69. </w:t>
      </w:r>
    </w:p>
    <w:p w14:paraId="65312F9C" w14:textId="349C4220" w:rsidR="00562FB3" w:rsidRPr="001D735D" w:rsidRDefault="00562FB3" w:rsidP="00836192">
      <w:pPr>
        <w:pStyle w:val="ListParagraph"/>
        <w:numPr>
          <w:ilvl w:val="0"/>
          <w:numId w:val="9"/>
        </w:numPr>
        <w:ind w:left="851" w:hanging="425"/>
        <w:jc w:val="both"/>
        <w:rPr>
          <w:rFonts w:ascii="Cambria" w:hAnsi="Cambria" w:cs="Arial"/>
          <w:sz w:val="24"/>
          <w:szCs w:val="24"/>
        </w:rPr>
      </w:pPr>
      <w:r w:rsidRPr="001D735D">
        <w:rPr>
          <w:rFonts w:ascii="Cambria" w:hAnsi="Cambria" w:cs="Arial"/>
          <w:sz w:val="24"/>
          <w:szCs w:val="24"/>
        </w:rPr>
        <w:t xml:space="preserve">The Arellano-Bond Autocorrelation Test (AR(1) and AR(2)) shows satisfactory  results, with an AR(1) significant and an AR(2) not significant, which indicates the  absence of autocorrelation problems at the second level. </w:t>
      </w:r>
    </w:p>
    <w:p w14:paraId="5ED1240E" w14:textId="2AFC59A7" w:rsidR="00562FB3" w:rsidRPr="001D735D" w:rsidRDefault="00562FB3" w:rsidP="00836192">
      <w:pPr>
        <w:ind w:firstLine="426"/>
        <w:jc w:val="both"/>
        <w:rPr>
          <w:rFonts w:ascii="Cambria" w:hAnsi="Cambria" w:cs="Arial"/>
          <w:sz w:val="24"/>
          <w:szCs w:val="24"/>
        </w:rPr>
      </w:pPr>
      <w:r w:rsidRPr="001D735D">
        <w:rPr>
          <w:rFonts w:ascii="Cambria" w:hAnsi="Cambria" w:cs="Arial"/>
          <w:sz w:val="24"/>
          <w:szCs w:val="24"/>
        </w:rPr>
        <w:t xml:space="preserve">The diagnostic tests conducted in this study, including the Arellano-Bond test for  autocorrelation, the </w:t>
      </w:r>
      <w:proofErr w:type="spellStart"/>
      <w:r w:rsidRPr="001D735D">
        <w:rPr>
          <w:rFonts w:ascii="Cambria" w:hAnsi="Cambria" w:cs="Arial"/>
          <w:sz w:val="24"/>
          <w:szCs w:val="24"/>
        </w:rPr>
        <w:t>Sargan</w:t>
      </w:r>
      <w:proofErr w:type="spellEnd"/>
      <w:r w:rsidRPr="001D735D">
        <w:rPr>
          <w:rFonts w:ascii="Cambria" w:hAnsi="Cambria" w:cs="Arial"/>
          <w:sz w:val="24"/>
          <w:szCs w:val="24"/>
        </w:rPr>
        <w:t xml:space="preserve"> test for over-identifying restrictions, and the Hansen test for  instrument validity, suggest that the model is well-specified and the results are robust.</w:t>
      </w:r>
    </w:p>
    <w:p w14:paraId="5707F19B" w14:textId="76046C38" w:rsidR="00562FB3" w:rsidRPr="001D735D" w:rsidRDefault="00562FB3" w:rsidP="00836192">
      <w:pPr>
        <w:ind w:left="-284" w:firstLine="284"/>
        <w:jc w:val="both"/>
        <w:rPr>
          <w:rFonts w:ascii="Cambria" w:hAnsi="Cambria" w:cs="Arial"/>
          <w:b/>
          <w:bCs/>
          <w:sz w:val="24"/>
          <w:szCs w:val="24"/>
        </w:rPr>
      </w:pPr>
      <w:r w:rsidRPr="001D735D">
        <w:rPr>
          <w:rFonts w:ascii="Cambria" w:hAnsi="Cambria" w:cs="Arial"/>
          <w:b/>
          <w:bCs/>
          <w:sz w:val="24"/>
          <w:szCs w:val="24"/>
        </w:rPr>
        <w:t>R-squared:</w:t>
      </w:r>
    </w:p>
    <w:p w14:paraId="62A789A5" w14:textId="77777777" w:rsidR="00562FB3" w:rsidRPr="001D735D" w:rsidRDefault="00562FB3" w:rsidP="00836192">
      <w:pPr>
        <w:pStyle w:val="ListParagraph"/>
        <w:numPr>
          <w:ilvl w:val="0"/>
          <w:numId w:val="10"/>
        </w:numPr>
        <w:ind w:left="851" w:hanging="425"/>
        <w:jc w:val="both"/>
        <w:rPr>
          <w:rFonts w:ascii="Cambria" w:hAnsi="Cambria" w:cs="Arial"/>
          <w:sz w:val="24"/>
          <w:szCs w:val="24"/>
        </w:rPr>
      </w:pPr>
      <w:r w:rsidRPr="001D735D">
        <w:rPr>
          <w:rFonts w:ascii="Cambria" w:hAnsi="Cambria" w:cs="Arial"/>
          <w:sz w:val="24"/>
          <w:szCs w:val="24"/>
        </w:rPr>
        <w:t>FEM has the highest R-squared value (0.18), indicating that it explains the largest  proportion of the variance in the dependent variable. </w:t>
      </w:r>
    </w:p>
    <w:p w14:paraId="6C8C186F" w14:textId="5F5275A6" w:rsidR="00562FB3" w:rsidRPr="001D735D" w:rsidRDefault="00562FB3" w:rsidP="00836192">
      <w:pPr>
        <w:pStyle w:val="ListParagraph"/>
        <w:numPr>
          <w:ilvl w:val="0"/>
          <w:numId w:val="10"/>
        </w:numPr>
        <w:ind w:left="851" w:hanging="425"/>
        <w:jc w:val="both"/>
        <w:rPr>
          <w:rFonts w:ascii="Cambria" w:hAnsi="Cambria" w:cs="Arial"/>
          <w:sz w:val="24"/>
          <w:szCs w:val="24"/>
        </w:rPr>
      </w:pPr>
      <w:r w:rsidRPr="001D735D">
        <w:rPr>
          <w:rFonts w:ascii="Cambria" w:hAnsi="Cambria" w:cs="Arial"/>
          <w:sz w:val="24"/>
          <w:szCs w:val="24"/>
        </w:rPr>
        <w:t xml:space="preserve">This is followed by FDGMM (0.02), SYS GMM (0,07), PLS (0.01),  Based on the comparative analysis, FEM is the preferred estimation method for this  study. It provides the highest coefficient, the lowest standard error, valid instruments (as  indicated by the </w:t>
      </w:r>
      <w:proofErr w:type="spellStart"/>
      <w:r w:rsidR="007C28B2" w:rsidRPr="001D735D">
        <w:rPr>
          <w:rFonts w:ascii="Cambria" w:hAnsi="Cambria" w:cs="Arial"/>
          <w:sz w:val="24"/>
          <w:szCs w:val="24"/>
        </w:rPr>
        <w:t>Sargan</w:t>
      </w:r>
      <w:proofErr w:type="spellEnd"/>
      <w:r w:rsidR="007C28B2" w:rsidRPr="001D735D">
        <w:rPr>
          <w:rFonts w:ascii="Cambria" w:hAnsi="Cambria" w:cs="Arial"/>
          <w:sz w:val="24"/>
          <w:szCs w:val="24"/>
        </w:rPr>
        <w:t xml:space="preserve"> test), and the highest R-squared value, making it the most robust  and reliable method among those considered.</w:t>
      </w:r>
    </w:p>
    <w:p w14:paraId="17842975" w14:textId="77777777" w:rsidR="007C28B2" w:rsidRPr="001D735D" w:rsidRDefault="007C28B2" w:rsidP="007C28B2">
      <w:pPr>
        <w:pStyle w:val="ListParagraph"/>
        <w:ind w:left="796"/>
        <w:jc w:val="both"/>
        <w:rPr>
          <w:rFonts w:ascii="Cambria" w:hAnsi="Cambria" w:cs="Arial"/>
          <w:sz w:val="24"/>
          <w:szCs w:val="24"/>
        </w:rPr>
      </w:pPr>
    </w:p>
    <w:p w14:paraId="2B3AB30B" w14:textId="44D2A00A" w:rsidR="007C28B2" w:rsidRPr="00836192" w:rsidRDefault="007C28B2" w:rsidP="00421797">
      <w:pPr>
        <w:pStyle w:val="ListParagraph"/>
        <w:ind w:left="284"/>
        <w:jc w:val="center"/>
        <w:rPr>
          <w:rFonts w:ascii="Cambria" w:hAnsi="Cambria" w:cs="Arial"/>
          <w:i/>
          <w:iCs/>
          <w:sz w:val="24"/>
          <w:szCs w:val="24"/>
        </w:rPr>
      </w:pPr>
      <w:r w:rsidRPr="00836192">
        <w:rPr>
          <w:rFonts w:ascii="Cambria" w:hAnsi="Cambria" w:cs="Arial"/>
          <w:i/>
          <w:iCs/>
          <w:sz w:val="24"/>
          <w:szCs w:val="24"/>
        </w:rPr>
        <w:t>Table 3. Long Term Effect</w:t>
      </w:r>
    </w:p>
    <w:p w14:paraId="13240169" w14:textId="08C3E43C" w:rsidR="007C28B2" w:rsidRDefault="007C28B2" w:rsidP="007C28B2">
      <w:pPr>
        <w:pStyle w:val="ListParagraph"/>
        <w:ind w:left="796"/>
        <w:jc w:val="center"/>
        <w:rPr>
          <w:rFonts w:ascii="Cambria" w:hAnsi="Cambria" w:cs="Arial"/>
          <w:sz w:val="24"/>
          <w:szCs w:val="24"/>
        </w:rPr>
      </w:pPr>
      <w:r w:rsidRPr="001D735D">
        <w:rPr>
          <w:rFonts w:ascii="Cambria" w:hAnsi="Cambria" w:cs="Arial"/>
          <w:noProof/>
          <w:sz w:val="24"/>
          <w:szCs w:val="24"/>
          <w:lang w:val="en-US"/>
        </w:rPr>
        <w:drawing>
          <wp:inline distT="0" distB="0" distL="0" distR="0" wp14:anchorId="50396A77" wp14:editId="22C20844">
            <wp:extent cx="5092700" cy="1062990"/>
            <wp:effectExtent l="0" t="0" r="0" b="3810"/>
            <wp:docPr id="9411465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700" cy="1062990"/>
                    </a:xfrm>
                    <a:prstGeom prst="rect">
                      <a:avLst/>
                    </a:prstGeom>
                    <a:noFill/>
                    <a:ln>
                      <a:noFill/>
                    </a:ln>
                  </pic:spPr>
                </pic:pic>
              </a:graphicData>
            </a:graphic>
          </wp:inline>
        </w:drawing>
      </w:r>
    </w:p>
    <w:p w14:paraId="6D8E7AA0" w14:textId="7C0919AC" w:rsidR="00421797" w:rsidRPr="00421797" w:rsidRDefault="00421797" w:rsidP="00421797">
      <w:pPr>
        <w:pStyle w:val="ListParagraph"/>
        <w:ind w:left="284"/>
        <w:jc w:val="center"/>
        <w:rPr>
          <w:rFonts w:ascii="Cambria" w:hAnsi="Cambria" w:cs="Arial"/>
          <w:i/>
          <w:iCs/>
          <w:sz w:val="24"/>
          <w:szCs w:val="24"/>
        </w:rPr>
      </w:pPr>
      <w:r>
        <w:rPr>
          <w:rFonts w:ascii="Cambria" w:hAnsi="Cambria" w:cs="Arial"/>
          <w:i/>
          <w:iCs/>
          <w:sz w:val="24"/>
          <w:szCs w:val="24"/>
        </w:rPr>
        <w:t>Source: Author</w:t>
      </w:r>
    </w:p>
    <w:p w14:paraId="5C249334" w14:textId="32E951C9" w:rsidR="00562FB3" w:rsidRDefault="007C28B2" w:rsidP="00836192">
      <w:pPr>
        <w:ind w:firstLine="426"/>
        <w:jc w:val="both"/>
        <w:rPr>
          <w:rFonts w:ascii="Cambria" w:hAnsi="Cambria" w:cs="Arial"/>
          <w:sz w:val="24"/>
          <w:szCs w:val="24"/>
        </w:rPr>
      </w:pPr>
      <w:r w:rsidRPr="00A92E04">
        <w:rPr>
          <w:rFonts w:ascii="Cambria" w:hAnsi="Cambria" w:cs="Arial"/>
          <w:sz w:val="24"/>
          <w:szCs w:val="24"/>
        </w:rPr>
        <w:t>From Table 3, After conducting a thorough analysis of the long-term data,  surprisingly, none</w:t>
      </w:r>
      <w:r w:rsidRPr="001D735D">
        <w:rPr>
          <w:rFonts w:ascii="Cambria" w:hAnsi="Cambria" w:cs="Arial"/>
          <w:sz w:val="24"/>
          <w:szCs w:val="24"/>
        </w:rPr>
        <w:t xml:space="preserve"> of the variables examined in this study were found to have a significant  impact on stunting in children in Indonesia. Despite the extensive literature suggesting  the importance of factors such as maternal education, household income, and access to  healthcare, our results indicate that these variables do not have a statistically significant relationship with stunting in this population. This unexpected finding suggests that the  determinants of stunting in Indonesia may be more complex and multifaceted </w:t>
      </w:r>
      <w:r w:rsidRPr="001D735D">
        <w:rPr>
          <w:rFonts w:ascii="Cambria" w:hAnsi="Cambria" w:cs="Arial"/>
          <w:sz w:val="24"/>
          <w:szCs w:val="24"/>
        </w:rPr>
        <w:lastRenderedPageBreak/>
        <w:t>than  previously thought, and highlights the need for further research to uncover the underlying  causes of this pervasive public health issue. </w:t>
      </w:r>
    </w:p>
    <w:p w14:paraId="12CE8C9E" w14:textId="77777777" w:rsidR="00836192" w:rsidRPr="001D735D" w:rsidRDefault="00836192" w:rsidP="00836192">
      <w:pPr>
        <w:ind w:firstLine="426"/>
        <w:jc w:val="both"/>
        <w:rPr>
          <w:rFonts w:ascii="Cambria" w:hAnsi="Cambria" w:cs="Arial"/>
          <w:sz w:val="24"/>
          <w:szCs w:val="24"/>
        </w:rPr>
      </w:pPr>
    </w:p>
    <w:p w14:paraId="49B36BD5" w14:textId="73FC8275" w:rsidR="00E7382C" w:rsidRPr="00836192" w:rsidRDefault="00E7382C" w:rsidP="00836192">
      <w:pPr>
        <w:pStyle w:val="ListParagraph"/>
        <w:numPr>
          <w:ilvl w:val="0"/>
          <w:numId w:val="11"/>
        </w:numPr>
        <w:spacing w:after="0" w:line="276" w:lineRule="auto"/>
        <w:ind w:left="426" w:hanging="426"/>
        <w:rPr>
          <w:rFonts w:ascii="Cambria" w:eastAsia="Times New Roman" w:hAnsi="Cambria" w:cs="Arial"/>
          <w:kern w:val="0"/>
          <w:sz w:val="24"/>
          <w:szCs w:val="24"/>
          <w:lang w:val="en-US"/>
          <w14:ligatures w14:val="none"/>
        </w:rPr>
      </w:pPr>
      <w:r w:rsidRPr="001D735D">
        <w:rPr>
          <w:rFonts w:ascii="Cambria" w:eastAsia="Times New Roman" w:hAnsi="Cambria" w:cs="Arial"/>
          <w:b/>
          <w:bCs/>
          <w:kern w:val="0"/>
          <w:sz w:val="24"/>
          <w:szCs w:val="24"/>
          <w:lang w:val="en-US"/>
          <w14:ligatures w14:val="none"/>
        </w:rPr>
        <w:t>Conclusion</w:t>
      </w:r>
    </w:p>
    <w:p w14:paraId="7D79FD9A" w14:textId="14EE0ED3" w:rsidR="007C28B2" w:rsidRPr="001D735D" w:rsidRDefault="007C28B2" w:rsidP="00836192">
      <w:pPr>
        <w:spacing w:after="120" w:line="276" w:lineRule="auto"/>
        <w:ind w:firstLine="426"/>
        <w:jc w:val="both"/>
        <w:rPr>
          <w:rFonts w:ascii="Cambria" w:hAnsi="Cambria" w:cs="Arial"/>
          <w:sz w:val="24"/>
          <w:szCs w:val="24"/>
        </w:rPr>
      </w:pPr>
      <w:r w:rsidRPr="001D735D">
        <w:rPr>
          <w:rFonts w:ascii="Cambria" w:hAnsi="Cambria" w:cs="Arial"/>
          <w:sz w:val="24"/>
          <w:szCs w:val="24"/>
        </w:rPr>
        <w:t>This study aimed to investigate the relationships between various socioeconomic and  demographic factors and stunting in children in Indonesia. Contrary to expectations, our  analysis revealed that none of the independent variables, Human Development Index,  Including Early Marriage, Information and Communication Technology, and Gender  Inequality Index, had a significant impact on the incidence of stunting in Indonesia. This  surprising lack of association suggests that the determinants of stunting in children in  Indonesia may be more complex and multifaceted than previously thought, and that other  factors not considered in this study may play a more critical role. These findings  underscore the need for further research to identify the underlying causes of stunting in  Indonesia, and to inform the development of effective interventions to address this critical  public health issue. </w:t>
      </w:r>
    </w:p>
    <w:p w14:paraId="60C4845B" w14:textId="77777777" w:rsidR="00E7382C" w:rsidRPr="001D735D" w:rsidRDefault="00E7382C" w:rsidP="00E42CA8">
      <w:pPr>
        <w:spacing w:after="120" w:line="276" w:lineRule="auto"/>
        <w:rPr>
          <w:rFonts w:ascii="Cambria" w:eastAsia="Times New Roman" w:hAnsi="Cambria" w:cs="Arial"/>
          <w:kern w:val="0"/>
          <w:sz w:val="24"/>
          <w:szCs w:val="24"/>
          <w:lang w:val="en-US"/>
          <w14:ligatures w14:val="none"/>
        </w:rPr>
      </w:pPr>
    </w:p>
    <w:p w14:paraId="0CC57F0E" w14:textId="78C64162" w:rsidR="00E7382C" w:rsidRPr="00A92E04" w:rsidRDefault="00E7382C" w:rsidP="00A92E04">
      <w:pPr>
        <w:pStyle w:val="ListParagraph"/>
        <w:numPr>
          <w:ilvl w:val="0"/>
          <w:numId w:val="11"/>
        </w:numPr>
        <w:spacing w:after="0" w:line="276" w:lineRule="auto"/>
        <w:ind w:left="426" w:hanging="426"/>
        <w:rPr>
          <w:rFonts w:ascii="Cambria" w:eastAsia="Times New Roman" w:hAnsi="Cambria" w:cs="Arial"/>
          <w:b/>
          <w:bCs/>
          <w:kern w:val="0"/>
          <w:sz w:val="24"/>
          <w:szCs w:val="24"/>
          <w:lang w:val="en-US"/>
          <w14:ligatures w14:val="none"/>
        </w:rPr>
      </w:pPr>
      <w:r w:rsidRPr="001D735D">
        <w:rPr>
          <w:rFonts w:ascii="Cambria" w:eastAsia="Times New Roman" w:hAnsi="Cambria" w:cs="Arial"/>
          <w:b/>
          <w:bCs/>
          <w:kern w:val="0"/>
          <w:sz w:val="24"/>
          <w:szCs w:val="24"/>
          <w:lang w:val="en-US"/>
          <w14:ligatures w14:val="none"/>
        </w:rPr>
        <w:t>References</w:t>
      </w:r>
      <w:r w:rsidRPr="001D735D">
        <w:rPr>
          <w:rFonts w:ascii="Cambria" w:hAnsi="Cambria" w:cs="Arial"/>
          <w:sz w:val="24"/>
          <w:szCs w:val="24"/>
          <w:lang w:val="en-US"/>
        </w:rPr>
        <w:fldChar w:fldCharType="begin" w:fldLock="1"/>
      </w:r>
      <w:r w:rsidRPr="00A92E04">
        <w:rPr>
          <w:rFonts w:ascii="Cambria" w:hAnsi="Cambria" w:cs="Arial"/>
          <w:sz w:val="24"/>
          <w:szCs w:val="24"/>
          <w:lang w:val="en-US"/>
        </w:rPr>
        <w:instrText xml:space="preserve">ADDIN Mendeley Bibliography CSL_BIBLIOGRAPHY </w:instrText>
      </w:r>
      <w:r w:rsidRPr="001D735D">
        <w:rPr>
          <w:rFonts w:ascii="Cambria" w:hAnsi="Cambria" w:cs="Arial"/>
          <w:sz w:val="24"/>
          <w:szCs w:val="24"/>
          <w:lang w:val="en-US"/>
        </w:rPr>
        <w:fldChar w:fldCharType="separate"/>
      </w:r>
    </w:p>
    <w:p w14:paraId="49F230DE"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Becker, G. S. (1964). Human capital: A theoretical and empirical analysis, with special  reference to education. University of Chicago Press. </w:t>
      </w:r>
    </w:p>
    <w:p w14:paraId="031C7E5C" w14:textId="108E6C54"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Blundell, R., &amp; Bond, S. (1998). Initial conditions and moment restrictions in dynamic  panel data models. Journal of Econometrics, 87(1), 115-143.  doi: 10.1016/S0304-4076(98)00009-4 </w:t>
      </w:r>
    </w:p>
    <w:p w14:paraId="77282F1D"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De Onis, M., Branca, F., &amp; Chumlea, W. C. (2019). Stunting in childhood: Global estimates and  implications. Bulletin of the World Health Organization, 97(10), 761–771.  doi: 10.2471/BLT.18.221414 </w:t>
      </w:r>
    </w:p>
    <w:p w14:paraId="5BA4655F"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Dickey, D. A., &amp; Fuller, W. A. (1979). Distribution of the estimators for autoregressive  time series with a unit root. Journal of the American Statistical Association,  74(366), 427-431. doi: 10.2307/2982476 </w:t>
      </w:r>
    </w:p>
    <w:p w14:paraId="4CD1C567"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Durbin, J., &amp; Watson, G. S. (1950). Testing for serial correlation in least squares  regression. Biometrika, 37(3-4), 409-428. doi: 10.2307/2332079 </w:t>
      </w:r>
    </w:p>
    <w:p w14:paraId="268EDCBB"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Goli, S., Doshi, R., &amp; Perianayagam, A. (2019). Gender inequality and health outcomes: Evidence  from India. Social Science &amp; Medicine, 232, 302–311. doi:  10.1016/j.socscimed.2019.04.024 </w:t>
      </w:r>
    </w:p>
    <w:p w14:paraId="51B6C361"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Hansen, L. P. (1982). Large sample properties of generalized method of moments  estimators. Econometrica, 50(4), 1029-1054. doi: 10.2307/1912774 Hidayat, B., Thabrany, H., &amp; Damayanti, R. (2019). The impact of community development on  health outcomes in Indonesia. Social Science &amp; Medicine, 232, 292–301. doi: 10.1016/j.socscimed.2019.02.024 </w:t>
      </w:r>
    </w:p>
    <w:p w14:paraId="6B724B15"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lastRenderedPageBreak/>
        <w:t>Hossain, M. Z., Islam, M. S., &amp; Rahman, M. M. (2020). Social determinants of stunting among  children under five years in Bangladesh. BMC Public Health, 20(1), 1-11.  doi: 10.1186/s12889-020-08815-6 </w:t>
      </w:r>
    </w:p>
    <w:p w14:paraId="1AB76595"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Kabeer, N. (2019). Gender and development: Rethinking modernization and gender  inequality. World Development, 123, 102244. doi:  10.1016/j.worlddev.2019.02.012 </w:t>
      </w:r>
    </w:p>
    <w:p w14:paraId="08C0CFD6"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Kumar, N., Kumar, J., &amp; Adhikari, T. (2020). Role of information and communication technology  in healthcare: A systematic review. International Journal of Medical Informatics, 143,  102144. doi: 10.1016/j.ijmedinf.2020.102144 </w:t>
      </w:r>
    </w:p>
    <w:p w14:paraId="67F1FBE3"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Kutner, M. H., Nachtsheim, C. J., &amp; Neter, J. (2005). Applied linear regression models Marmot, M. (2017). Social determinants of health inequalities. The Lancet, 390(10106),  1727-1736. doi: 10.1016/j.socscimed.2017.03.021 </w:t>
      </w:r>
    </w:p>
    <w:p w14:paraId="495927AE"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Nguyen, P. H., Tran, L. M., &amp; Nguyen, T. T. (2020). Human capital and stunting in  children: Evidence from Vietnam. Social Science &amp; Medicine, 262, 112923. doi: 10.1016/j.socscimed.2020.112923 </w:t>
      </w:r>
    </w:p>
    <w:p w14:paraId="7C540D7B"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Ratnaningsih, M., Utami, R., &amp; Waksi, F. (2020). Status Kesehatan Remaja Perempuan yang  Mengalami Perkawinan Anak. Jurnal Kesehatan Reproduksi, 7(1), 15. doi:  10.22146/jkr.54211 </w:t>
      </w:r>
    </w:p>
    <w:p w14:paraId="3F962EA1" w14:textId="77777777" w:rsidR="007C28B2" w:rsidRPr="001D735D" w:rsidRDefault="007C28B2" w:rsidP="00A92E04">
      <w:pPr>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Riskesdas. (2018). Riset Kesehatan Dasar 2018. Jakarta: Kementerian Kesehatan Republik  Indonesia. </w:t>
      </w:r>
    </w:p>
    <w:p w14:paraId="7F87B592" w14:textId="77777777" w:rsidR="007C28B2" w:rsidRPr="001D735D" w:rsidRDefault="007C28B2" w:rsidP="00282240">
      <w:pPr>
        <w:tabs>
          <w:tab w:val="left" w:pos="993"/>
        </w:tabs>
        <w:autoSpaceDE w:val="0"/>
        <w:autoSpaceDN w:val="0"/>
        <w:adjustRightInd w:val="0"/>
        <w:spacing w:after="120" w:line="240" w:lineRule="auto"/>
        <w:ind w:left="993" w:hanging="567"/>
        <w:jc w:val="both"/>
        <w:rPr>
          <w:rFonts w:ascii="Cambria" w:hAnsi="Cambria" w:cs="Arial"/>
          <w:sz w:val="24"/>
          <w:szCs w:val="24"/>
        </w:rPr>
      </w:pPr>
      <w:r w:rsidRPr="001D735D">
        <w:rPr>
          <w:rFonts w:ascii="Cambria" w:hAnsi="Cambria" w:cs="Arial"/>
          <w:sz w:val="24"/>
          <w:szCs w:val="24"/>
        </w:rPr>
        <w:t>Venkatesh, V., Thong, J. Y. L., &amp; Xu, X. (2012). Consumer acceptance and use of  information technology: Extending the unified theory of acceptance and use of  technology. MIS Quarterly, 36(1), 157-178. doi: 10.1016/j.ijhcs.2012.02.005</w:t>
      </w:r>
    </w:p>
    <w:p w14:paraId="335E1A2C" w14:textId="77777777" w:rsidR="007C28B2" w:rsidRPr="001D735D" w:rsidRDefault="007C28B2" w:rsidP="00E42CA8">
      <w:pPr>
        <w:autoSpaceDE w:val="0"/>
        <w:autoSpaceDN w:val="0"/>
        <w:adjustRightInd w:val="0"/>
        <w:spacing w:after="120" w:line="240" w:lineRule="auto"/>
        <w:ind w:left="709" w:hanging="709"/>
        <w:jc w:val="both"/>
        <w:rPr>
          <w:rFonts w:ascii="Cambria" w:hAnsi="Cambria" w:cs="Arial"/>
          <w:sz w:val="24"/>
          <w:szCs w:val="24"/>
          <w:lang w:val="en-US"/>
        </w:rPr>
      </w:pPr>
    </w:p>
    <w:p w14:paraId="0FA80286" w14:textId="45F360DD" w:rsidR="00E7382C" w:rsidRPr="001D735D" w:rsidRDefault="00E7382C" w:rsidP="00E42CA8">
      <w:pPr>
        <w:autoSpaceDE w:val="0"/>
        <w:autoSpaceDN w:val="0"/>
        <w:adjustRightInd w:val="0"/>
        <w:spacing w:after="120" w:line="240" w:lineRule="auto"/>
        <w:ind w:left="709" w:hanging="709"/>
        <w:jc w:val="both"/>
        <w:rPr>
          <w:rFonts w:ascii="Cambria" w:hAnsi="Cambria" w:cs="Arial"/>
          <w:sz w:val="24"/>
          <w:szCs w:val="24"/>
          <w:lang w:val="en-US"/>
        </w:rPr>
      </w:pPr>
    </w:p>
    <w:p w14:paraId="3B757844" w14:textId="77777777" w:rsidR="00E7382C" w:rsidRPr="001D735D" w:rsidRDefault="00E7382C" w:rsidP="006F4D01">
      <w:pPr>
        <w:widowControl w:val="0"/>
        <w:autoSpaceDE w:val="0"/>
        <w:autoSpaceDN w:val="0"/>
        <w:adjustRightInd w:val="0"/>
        <w:spacing w:after="0" w:line="276" w:lineRule="auto"/>
        <w:ind w:left="480" w:hanging="480"/>
        <w:jc w:val="both"/>
        <w:rPr>
          <w:rFonts w:ascii="Cambria" w:hAnsi="Cambria" w:cs="Arial"/>
          <w:noProof/>
          <w:sz w:val="24"/>
          <w:szCs w:val="24"/>
          <w:lang w:val="en-US"/>
        </w:rPr>
      </w:pPr>
    </w:p>
    <w:p w14:paraId="524D288C" w14:textId="661A6609" w:rsidR="003D6C68" w:rsidRPr="001D735D" w:rsidRDefault="00E7382C" w:rsidP="00326490">
      <w:pPr>
        <w:spacing w:after="0" w:line="276" w:lineRule="auto"/>
        <w:rPr>
          <w:rFonts w:ascii="Cambria" w:hAnsi="Cambria" w:cs="Arial"/>
          <w:sz w:val="24"/>
          <w:szCs w:val="24"/>
          <w:lang w:val="en-US"/>
        </w:rPr>
      </w:pPr>
      <w:r w:rsidRPr="001D735D">
        <w:rPr>
          <w:rFonts w:ascii="Cambria" w:hAnsi="Cambria" w:cs="Arial"/>
          <w:sz w:val="24"/>
          <w:szCs w:val="24"/>
          <w:lang w:val="en-US"/>
        </w:rPr>
        <w:fldChar w:fldCharType="end"/>
      </w:r>
      <w:bookmarkEnd w:id="0"/>
    </w:p>
    <w:p w14:paraId="79D1B2D1" w14:textId="784F1E72" w:rsidR="004D3906" w:rsidRPr="001D735D" w:rsidRDefault="004D3906" w:rsidP="006F4D01">
      <w:pPr>
        <w:spacing w:line="276" w:lineRule="auto"/>
        <w:rPr>
          <w:rFonts w:ascii="Cambria" w:hAnsi="Cambria" w:cs="Arial"/>
          <w:sz w:val="24"/>
          <w:szCs w:val="24"/>
          <w:lang w:val="en-US"/>
        </w:rPr>
      </w:pPr>
    </w:p>
    <w:sectPr w:rsidR="004D3906" w:rsidRPr="001D735D" w:rsidSect="00CF5F8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1D1F" w14:textId="77777777" w:rsidR="00891BB9" w:rsidRDefault="00891BB9" w:rsidP="004D3906">
      <w:pPr>
        <w:spacing w:after="0" w:line="240" w:lineRule="auto"/>
      </w:pPr>
      <w:r>
        <w:separator/>
      </w:r>
    </w:p>
  </w:endnote>
  <w:endnote w:type="continuationSeparator" w:id="0">
    <w:p w14:paraId="6A00832E" w14:textId="77777777" w:rsidR="00891BB9" w:rsidRDefault="00891BB9" w:rsidP="004D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Antiqua-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DF24DF" w:rsidRPr="004D3906" w14:paraId="69B341BE" w14:textId="77777777" w:rsidTr="00C0739A">
      <w:trPr>
        <w:cantSplit/>
      </w:trPr>
      <w:tc>
        <w:tcPr>
          <w:tcW w:w="480" w:type="dxa"/>
        </w:tcPr>
        <w:p w14:paraId="2669AACA" w14:textId="77777777" w:rsidR="00DF24DF" w:rsidRPr="004D3906" w:rsidRDefault="00DF24DF" w:rsidP="00DF24DF">
          <w:pPr>
            <w:pStyle w:val="MainText"/>
            <w:rPr>
              <w:sz w:val="18"/>
              <w:szCs w:val="18"/>
            </w:rPr>
          </w:pPr>
        </w:p>
      </w:tc>
      <w:tc>
        <w:tcPr>
          <w:tcW w:w="960" w:type="dxa"/>
        </w:tcPr>
        <w:p w14:paraId="3EC9D23D" w14:textId="77777777" w:rsidR="00DF24DF" w:rsidRPr="004D3906" w:rsidRDefault="00DF24DF" w:rsidP="00DF24DF">
          <w:pPr>
            <w:pStyle w:val="MainText"/>
            <w:rPr>
              <w:sz w:val="18"/>
              <w:szCs w:val="18"/>
            </w:rPr>
          </w:pPr>
        </w:p>
      </w:tc>
      <w:tc>
        <w:tcPr>
          <w:tcW w:w="7200" w:type="dxa"/>
        </w:tcPr>
        <w:p w14:paraId="5F93333E" w14:textId="77777777" w:rsidR="00DF24DF" w:rsidRPr="004D3906" w:rsidRDefault="00DF24DF" w:rsidP="00DF24DF">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Pr>
              <w:rFonts w:ascii="Times New Roman" w:hAnsi="Times New Roman" w:cs="Times New Roman"/>
              <w:sz w:val="20"/>
              <w:szCs w:val="20"/>
            </w:rPr>
            <w:t>4</w:t>
          </w:r>
        </w:p>
        <w:p w14:paraId="2D21BD7F" w14:textId="77777777" w:rsidR="00DF24DF" w:rsidRPr="004D3906" w:rsidRDefault="00DF24DF" w:rsidP="00DF24DF">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Fintech and Banking, Universitas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Maret</w:t>
          </w:r>
        </w:p>
        <w:p w14:paraId="026F812A" w14:textId="77777777" w:rsidR="00DF24DF" w:rsidRPr="004D3906" w:rsidRDefault="00DF24DF" w:rsidP="00DF24DF">
          <w:pPr>
            <w:pStyle w:val="Footer"/>
            <w:spacing w:line="240" w:lineRule="atLeast"/>
            <w:rPr>
              <w:rFonts w:ascii="Times New Roman" w:hAnsi="Times New Roman" w:cs="Times New Roman"/>
              <w:sz w:val="20"/>
              <w:szCs w:val="20"/>
            </w:rPr>
          </w:pPr>
        </w:p>
      </w:tc>
      <w:tc>
        <w:tcPr>
          <w:tcW w:w="960" w:type="dxa"/>
        </w:tcPr>
        <w:p w14:paraId="0ABADB70" w14:textId="77777777" w:rsidR="00DF24DF" w:rsidRPr="004D3906" w:rsidRDefault="00DF24DF" w:rsidP="00DF24DF">
          <w:pPr>
            <w:pStyle w:val="MainText"/>
            <w:rPr>
              <w:sz w:val="18"/>
              <w:szCs w:val="18"/>
            </w:rPr>
          </w:pPr>
        </w:p>
      </w:tc>
      <w:tc>
        <w:tcPr>
          <w:tcW w:w="480" w:type="dxa"/>
        </w:tcPr>
        <w:p w14:paraId="3D810D7D" w14:textId="77777777" w:rsidR="00DF24DF" w:rsidRPr="004D3906" w:rsidRDefault="00DF24DF" w:rsidP="00DF24DF">
          <w:pPr>
            <w:pStyle w:val="MainText"/>
            <w:rPr>
              <w:sz w:val="18"/>
              <w:szCs w:val="18"/>
            </w:rPr>
          </w:pPr>
        </w:p>
      </w:tc>
      <w:tc>
        <w:tcPr>
          <w:tcW w:w="720" w:type="dxa"/>
        </w:tcPr>
        <w:p w14:paraId="1AEF4EEB" w14:textId="77777777" w:rsidR="00DF24DF" w:rsidRPr="004D3906" w:rsidRDefault="00DF24DF" w:rsidP="00DF24DF">
          <w:pPr>
            <w:pStyle w:val="MainText"/>
            <w:rPr>
              <w:sz w:val="18"/>
              <w:szCs w:val="18"/>
            </w:rPr>
          </w:pPr>
        </w:p>
      </w:tc>
    </w:tr>
  </w:tbl>
  <w:p w14:paraId="49541DC1" w14:textId="77777777" w:rsidR="006F4D01" w:rsidRDefault="006F4D01" w:rsidP="004D3906">
    <w:pPr>
      <w:pStyle w:val="Footer"/>
    </w:pPr>
  </w:p>
  <w:p w14:paraId="3B065279" w14:textId="77777777" w:rsidR="006F4D01" w:rsidRDefault="006F4D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D44C8D" w:rsidRPr="004D3906" w14:paraId="74D6B813" w14:textId="77777777" w:rsidTr="00C0739A">
      <w:trPr>
        <w:cantSplit/>
      </w:trPr>
      <w:tc>
        <w:tcPr>
          <w:tcW w:w="480" w:type="dxa"/>
        </w:tcPr>
        <w:p w14:paraId="6D266903" w14:textId="77777777" w:rsidR="00D44C8D" w:rsidRPr="004D3906" w:rsidRDefault="00D44C8D" w:rsidP="00D44C8D">
          <w:pPr>
            <w:pStyle w:val="MainText"/>
            <w:rPr>
              <w:sz w:val="18"/>
              <w:szCs w:val="18"/>
            </w:rPr>
          </w:pPr>
        </w:p>
      </w:tc>
      <w:tc>
        <w:tcPr>
          <w:tcW w:w="960" w:type="dxa"/>
        </w:tcPr>
        <w:p w14:paraId="75978B54" w14:textId="77777777" w:rsidR="00D44C8D" w:rsidRPr="004D3906" w:rsidRDefault="00D44C8D" w:rsidP="00D44C8D">
          <w:pPr>
            <w:pStyle w:val="MainText"/>
            <w:rPr>
              <w:sz w:val="18"/>
              <w:szCs w:val="18"/>
            </w:rPr>
          </w:pPr>
        </w:p>
      </w:tc>
      <w:tc>
        <w:tcPr>
          <w:tcW w:w="7200" w:type="dxa"/>
        </w:tcPr>
        <w:p w14:paraId="51C8FD71" w14:textId="77777777" w:rsidR="00D44C8D" w:rsidRPr="004D3906" w:rsidRDefault="00D44C8D" w:rsidP="00D44C8D">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Pr>
              <w:rFonts w:ascii="Times New Roman" w:hAnsi="Times New Roman" w:cs="Times New Roman"/>
              <w:sz w:val="20"/>
              <w:szCs w:val="20"/>
            </w:rPr>
            <w:t>4</w:t>
          </w:r>
        </w:p>
        <w:p w14:paraId="26AFAF7E" w14:textId="77777777" w:rsidR="00D44C8D" w:rsidRPr="004D3906" w:rsidRDefault="00D44C8D" w:rsidP="00D44C8D">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Fintech and Banking, Universitas Sebelas Maret</w:t>
          </w:r>
        </w:p>
        <w:p w14:paraId="3CEC4DA4" w14:textId="77777777" w:rsidR="00D44C8D" w:rsidRPr="004D3906" w:rsidRDefault="00D44C8D" w:rsidP="00D44C8D">
          <w:pPr>
            <w:pStyle w:val="Footer"/>
            <w:spacing w:line="240" w:lineRule="atLeast"/>
            <w:rPr>
              <w:rFonts w:ascii="Times New Roman" w:hAnsi="Times New Roman" w:cs="Times New Roman"/>
              <w:sz w:val="20"/>
              <w:szCs w:val="20"/>
            </w:rPr>
          </w:pPr>
        </w:p>
      </w:tc>
      <w:tc>
        <w:tcPr>
          <w:tcW w:w="960" w:type="dxa"/>
        </w:tcPr>
        <w:p w14:paraId="506B5063" w14:textId="77777777" w:rsidR="00D44C8D" w:rsidRPr="004D3906" w:rsidRDefault="00D44C8D" w:rsidP="00D44C8D">
          <w:pPr>
            <w:pStyle w:val="MainText"/>
            <w:rPr>
              <w:sz w:val="18"/>
              <w:szCs w:val="18"/>
            </w:rPr>
          </w:pPr>
        </w:p>
      </w:tc>
      <w:tc>
        <w:tcPr>
          <w:tcW w:w="480" w:type="dxa"/>
        </w:tcPr>
        <w:p w14:paraId="3FF7CE91" w14:textId="77777777" w:rsidR="00D44C8D" w:rsidRPr="004D3906" w:rsidRDefault="00D44C8D" w:rsidP="00D44C8D">
          <w:pPr>
            <w:pStyle w:val="MainText"/>
            <w:rPr>
              <w:sz w:val="18"/>
              <w:szCs w:val="18"/>
            </w:rPr>
          </w:pPr>
        </w:p>
      </w:tc>
      <w:tc>
        <w:tcPr>
          <w:tcW w:w="720" w:type="dxa"/>
        </w:tcPr>
        <w:p w14:paraId="20BC5A08" w14:textId="77777777" w:rsidR="00D44C8D" w:rsidRPr="004D3906" w:rsidRDefault="00D44C8D" w:rsidP="00D44C8D">
          <w:pPr>
            <w:pStyle w:val="MainText"/>
            <w:rPr>
              <w:sz w:val="18"/>
              <w:szCs w:val="18"/>
            </w:rPr>
          </w:pPr>
        </w:p>
      </w:tc>
    </w:tr>
  </w:tbl>
  <w:p w14:paraId="1403D4EE" w14:textId="77777777" w:rsidR="006F4D01" w:rsidRPr="004D3906" w:rsidRDefault="006F4D01" w:rsidP="004D3906">
    <w:pPr>
      <w:pStyle w:val="Footer"/>
      <w:rPr>
        <w:rFonts w:ascii="Times New Roman" w:hAnsi="Times New Roman" w:cs="Times New Roman"/>
        <w:sz w:val="20"/>
        <w:szCs w:val="20"/>
      </w:rPr>
    </w:pPr>
  </w:p>
  <w:p w14:paraId="720C630F" w14:textId="77777777" w:rsidR="006F4D01" w:rsidRDefault="006F4D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6F4D01" w:rsidRPr="004D3906" w14:paraId="137B135D" w14:textId="77777777" w:rsidTr="00057260">
      <w:trPr>
        <w:cantSplit/>
      </w:trPr>
      <w:tc>
        <w:tcPr>
          <w:tcW w:w="480" w:type="dxa"/>
        </w:tcPr>
        <w:p w14:paraId="63D4F2B6" w14:textId="77777777" w:rsidR="006F4D01" w:rsidRPr="004D3906" w:rsidRDefault="006F4D01" w:rsidP="004D3906">
          <w:pPr>
            <w:pStyle w:val="MainText"/>
            <w:rPr>
              <w:sz w:val="18"/>
              <w:szCs w:val="18"/>
            </w:rPr>
          </w:pPr>
        </w:p>
      </w:tc>
      <w:tc>
        <w:tcPr>
          <w:tcW w:w="960" w:type="dxa"/>
        </w:tcPr>
        <w:p w14:paraId="7B702D2B" w14:textId="77777777" w:rsidR="006F4D01" w:rsidRPr="004D3906" w:rsidRDefault="006F4D01" w:rsidP="004D3906">
          <w:pPr>
            <w:pStyle w:val="MainText"/>
            <w:rPr>
              <w:sz w:val="18"/>
              <w:szCs w:val="18"/>
            </w:rPr>
          </w:pPr>
        </w:p>
      </w:tc>
      <w:tc>
        <w:tcPr>
          <w:tcW w:w="7200" w:type="dxa"/>
        </w:tcPr>
        <w:p w14:paraId="1981D0E5" w14:textId="62F7E671" w:rsidR="006F4D01" w:rsidRPr="004D3906" w:rsidRDefault="006F4D01"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sidR="005B1C01">
            <w:rPr>
              <w:rFonts w:ascii="Times New Roman" w:hAnsi="Times New Roman" w:cs="Times New Roman"/>
              <w:sz w:val="20"/>
              <w:szCs w:val="20"/>
            </w:rPr>
            <w:t>4</w:t>
          </w:r>
        </w:p>
        <w:p w14:paraId="2437A7DA" w14:textId="77777777" w:rsidR="006F4D01" w:rsidRPr="004D3906" w:rsidRDefault="006F4D01" w:rsidP="004D3906">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Fintech and Banking, Universitas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Maret</w:t>
          </w:r>
        </w:p>
        <w:p w14:paraId="062F14B0" w14:textId="77777777" w:rsidR="006F4D01" w:rsidRPr="004D3906" w:rsidRDefault="006F4D01" w:rsidP="004D3906">
          <w:pPr>
            <w:pStyle w:val="Footer"/>
            <w:spacing w:line="240" w:lineRule="atLeast"/>
            <w:rPr>
              <w:rFonts w:ascii="Times New Roman" w:hAnsi="Times New Roman" w:cs="Times New Roman"/>
              <w:sz w:val="20"/>
              <w:szCs w:val="20"/>
            </w:rPr>
          </w:pPr>
        </w:p>
      </w:tc>
      <w:tc>
        <w:tcPr>
          <w:tcW w:w="960" w:type="dxa"/>
        </w:tcPr>
        <w:p w14:paraId="57396A25" w14:textId="77777777" w:rsidR="006F4D01" w:rsidRPr="004D3906" w:rsidRDefault="006F4D01" w:rsidP="004D3906">
          <w:pPr>
            <w:pStyle w:val="MainText"/>
            <w:rPr>
              <w:sz w:val="18"/>
              <w:szCs w:val="18"/>
            </w:rPr>
          </w:pPr>
        </w:p>
      </w:tc>
      <w:tc>
        <w:tcPr>
          <w:tcW w:w="480" w:type="dxa"/>
        </w:tcPr>
        <w:p w14:paraId="50A9EED9" w14:textId="77777777" w:rsidR="006F4D01" w:rsidRPr="004D3906" w:rsidRDefault="006F4D01" w:rsidP="004D3906">
          <w:pPr>
            <w:pStyle w:val="MainText"/>
            <w:rPr>
              <w:sz w:val="18"/>
              <w:szCs w:val="18"/>
            </w:rPr>
          </w:pPr>
        </w:p>
      </w:tc>
      <w:tc>
        <w:tcPr>
          <w:tcW w:w="720" w:type="dxa"/>
        </w:tcPr>
        <w:p w14:paraId="223CD9C5" w14:textId="77777777" w:rsidR="006F4D01" w:rsidRPr="004D3906" w:rsidRDefault="006F4D01" w:rsidP="004D3906">
          <w:pPr>
            <w:pStyle w:val="MainText"/>
            <w:rPr>
              <w:sz w:val="18"/>
              <w:szCs w:val="18"/>
            </w:rPr>
          </w:pPr>
        </w:p>
      </w:tc>
    </w:tr>
  </w:tbl>
  <w:p w14:paraId="73A2A47C" w14:textId="77777777" w:rsidR="006F4D01" w:rsidRDefault="006F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B36FB" w14:textId="77777777" w:rsidR="00891BB9" w:rsidRDefault="00891BB9" w:rsidP="004D3906">
      <w:pPr>
        <w:spacing w:after="0" w:line="240" w:lineRule="auto"/>
      </w:pPr>
      <w:r>
        <w:separator/>
      </w:r>
    </w:p>
  </w:footnote>
  <w:footnote w:type="continuationSeparator" w:id="0">
    <w:p w14:paraId="48E42934" w14:textId="77777777" w:rsidR="00891BB9" w:rsidRDefault="00891BB9" w:rsidP="004D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DF24DF" w14:paraId="4B8071E2" w14:textId="77777777" w:rsidTr="00DF24DF">
      <w:trPr>
        <w:cantSplit/>
      </w:trPr>
      <w:tc>
        <w:tcPr>
          <w:tcW w:w="522" w:type="dxa"/>
        </w:tcPr>
        <w:p w14:paraId="180FF75F" w14:textId="77777777" w:rsidR="00DF24DF" w:rsidRDefault="00DF24DF" w:rsidP="00DF24DF">
          <w:pPr>
            <w:pStyle w:val="MainText"/>
          </w:pPr>
        </w:p>
      </w:tc>
      <w:tc>
        <w:tcPr>
          <w:tcW w:w="710" w:type="dxa"/>
        </w:tcPr>
        <w:p w14:paraId="3791C870" w14:textId="77777777" w:rsidR="00DF24DF" w:rsidRDefault="00DF24DF" w:rsidP="00DF24DF">
          <w:pPr>
            <w:pStyle w:val="MainText"/>
          </w:pPr>
        </w:p>
      </w:tc>
      <w:tc>
        <w:tcPr>
          <w:tcW w:w="928" w:type="dxa"/>
        </w:tcPr>
        <w:p w14:paraId="6EC33642" w14:textId="77777777" w:rsidR="00DF24DF" w:rsidRDefault="00DF24DF" w:rsidP="00DF24DF">
          <w:pPr>
            <w:pStyle w:val="MainText"/>
          </w:pPr>
        </w:p>
      </w:tc>
      <w:tc>
        <w:tcPr>
          <w:tcW w:w="7860" w:type="dxa"/>
          <w:tcBorders>
            <w:bottom w:val="single" w:sz="12" w:space="0" w:color="auto"/>
          </w:tcBorders>
        </w:tcPr>
        <w:p w14:paraId="520561BC" w14:textId="77777777" w:rsidR="00DF24DF" w:rsidRDefault="00DF24DF" w:rsidP="00DF24DF">
          <w:pPr>
            <w:pStyle w:val="MainText"/>
            <w:spacing w:line="600" w:lineRule="atLeast"/>
          </w:pPr>
        </w:p>
      </w:tc>
      <w:tc>
        <w:tcPr>
          <w:tcW w:w="425" w:type="dxa"/>
        </w:tcPr>
        <w:p w14:paraId="33834888" w14:textId="77777777" w:rsidR="00DF24DF" w:rsidRDefault="00DF24DF" w:rsidP="00DF24DF">
          <w:pPr>
            <w:pStyle w:val="MainText"/>
          </w:pPr>
        </w:p>
      </w:tc>
      <w:tc>
        <w:tcPr>
          <w:tcW w:w="567" w:type="dxa"/>
        </w:tcPr>
        <w:p w14:paraId="4E825E13" w14:textId="77777777" w:rsidR="00DF24DF" w:rsidRDefault="00DF24DF" w:rsidP="00DF24DF">
          <w:pPr>
            <w:pStyle w:val="MainText"/>
          </w:pPr>
        </w:p>
      </w:tc>
      <w:tc>
        <w:tcPr>
          <w:tcW w:w="567" w:type="dxa"/>
        </w:tcPr>
        <w:p w14:paraId="7A5FE27B" w14:textId="77777777" w:rsidR="00DF24DF" w:rsidRDefault="00DF24DF" w:rsidP="00DF24DF">
          <w:pPr>
            <w:pStyle w:val="MainText"/>
          </w:pPr>
        </w:p>
      </w:tc>
    </w:tr>
    <w:tr w:rsidR="00DF24DF" w14:paraId="39E3E642" w14:textId="77777777" w:rsidTr="00DF24DF">
      <w:trPr>
        <w:cantSplit/>
      </w:trPr>
      <w:tc>
        <w:tcPr>
          <w:tcW w:w="522" w:type="dxa"/>
        </w:tcPr>
        <w:p w14:paraId="199DC5D8" w14:textId="77777777" w:rsidR="00DF24DF" w:rsidRDefault="00DF24DF" w:rsidP="00DF24DF">
          <w:pPr>
            <w:pStyle w:val="MainText"/>
          </w:pPr>
        </w:p>
      </w:tc>
      <w:tc>
        <w:tcPr>
          <w:tcW w:w="710" w:type="dxa"/>
        </w:tcPr>
        <w:p w14:paraId="54BBA1AB" w14:textId="77777777" w:rsidR="00DF24DF" w:rsidRDefault="00DF24DF" w:rsidP="00DF24DF">
          <w:pPr>
            <w:pStyle w:val="MainText"/>
          </w:pPr>
        </w:p>
      </w:tc>
      <w:tc>
        <w:tcPr>
          <w:tcW w:w="928" w:type="dxa"/>
        </w:tcPr>
        <w:p w14:paraId="3D3611C9" w14:textId="77777777" w:rsidR="00DF24DF" w:rsidRDefault="00DF24DF" w:rsidP="00DF24DF">
          <w:pPr>
            <w:pStyle w:val="MainText"/>
          </w:pPr>
        </w:p>
      </w:tc>
      <w:tc>
        <w:tcPr>
          <w:tcW w:w="7860" w:type="dxa"/>
          <w:tcBorders>
            <w:top w:val="single" w:sz="12" w:space="0" w:color="auto"/>
          </w:tcBorders>
        </w:tcPr>
        <w:p w14:paraId="5E551EBD" w14:textId="77777777" w:rsidR="00DF24DF" w:rsidRPr="004D3906" w:rsidRDefault="00DF24DF" w:rsidP="00DF24DF">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Pr>
              <w:rFonts w:ascii="Calibri Light" w:hAnsi="Calibri Light" w:cs="Calibri Light"/>
            </w:rPr>
            <w:t>5</w:t>
          </w:r>
          <w:r w:rsidRPr="004D3906">
            <w:rPr>
              <w:rFonts w:ascii="Calibri Light" w:hAnsi="Calibri Light" w:cs="Calibri Light"/>
            </w:rPr>
            <w:t xml:space="preserve">, No. </w:t>
          </w:r>
          <w:r>
            <w:rPr>
              <w:rFonts w:ascii="Calibri Light" w:hAnsi="Calibri Light" w:cs="Calibri Light"/>
            </w:rPr>
            <w:t>1</w:t>
          </w:r>
          <w:r w:rsidRPr="004D3906">
            <w:rPr>
              <w:rFonts w:ascii="Calibri Light" w:hAnsi="Calibri Light" w:cs="Calibri Light"/>
            </w:rPr>
            <w:t xml:space="preserve">, </w:t>
          </w:r>
          <w:r>
            <w:rPr>
              <w:rFonts w:ascii="Calibri Light" w:hAnsi="Calibri Light" w:cs="Calibri Light"/>
            </w:rPr>
            <w:t>2024</w:t>
          </w:r>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00351A0B">
            <w:rPr>
              <w:rFonts w:ascii="Calibri Light" w:hAnsi="Calibri Light" w:cs="Calibri Light"/>
              <w:noProof/>
            </w:rPr>
            <w:t>10</w:t>
          </w:r>
          <w:r w:rsidRPr="004D3906">
            <w:rPr>
              <w:rFonts w:ascii="Calibri Light" w:hAnsi="Calibri Light" w:cs="Calibri Light"/>
            </w:rPr>
            <w:fldChar w:fldCharType="end"/>
          </w:r>
        </w:p>
      </w:tc>
      <w:tc>
        <w:tcPr>
          <w:tcW w:w="425" w:type="dxa"/>
        </w:tcPr>
        <w:p w14:paraId="028926E2" w14:textId="77777777" w:rsidR="00DF24DF" w:rsidRDefault="00DF24DF" w:rsidP="00DF24DF">
          <w:pPr>
            <w:pStyle w:val="MainText"/>
          </w:pPr>
        </w:p>
      </w:tc>
      <w:tc>
        <w:tcPr>
          <w:tcW w:w="567" w:type="dxa"/>
        </w:tcPr>
        <w:p w14:paraId="62A566FE" w14:textId="77777777" w:rsidR="00DF24DF" w:rsidRDefault="00DF24DF" w:rsidP="00DF24DF">
          <w:pPr>
            <w:pStyle w:val="MainText"/>
          </w:pPr>
        </w:p>
      </w:tc>
      <w:tc>
        <w:tcPr>
          <w:tcW w:w="567" w:type="dxa"/>
        </w:tcPr>
        <w:p w14:paraId="7E6D15A2" w14:textId="77777777" w:rsidR="00DF24DF" w:rsidRDefault="00DF24DF" w:rsidP="00DF24DF">
          <w:pPr>
            <w:pStyle w:val="MainText"/>
          </w:pPr>
        </w:p>
      </w:tc>
    </w:tr>
    <w:tr w:rsidR="00DF24DF" w14:paraId="14302CE5" w14:textId="77777777" w:rsidTr="00DF24DF">
      <w:trPr>
        <w:cantSplit/>
      </w:trPr>
      <w:tc>
        <w:tcPr>
          <w:tcW w:w="522" w:type="dxa"/>
        </w:tcPr>
        <w:p w14:paraId="770535EF" w14:textId="77777777" w:rsidR="00DF24DF" w:rsidRDefault="00DF24DF" w:rsidP="00DF24DF">
          <w:pPr>
            <w:pStyle w:val="MainText"/>
          </w:pPr>
        </w:p>
      </w:tc>
      <w:tc>
        <w:tcPr>
          <w:tcW w:w="710" w:type="dxa"/>
        </w:tcPr>
        <w:p w14:paraId="1DF3085D" w14:textId="77777777" w:rsidR="00DF24DF" w:rsidRDefault="00DF24DF" w:rsidP="00DF24DF">
          <w:pPr>
            <w:pStyle w:val="MainText"/>
          </w:pPr>
        </w:p>
      </w:tc>
      <w:tc>
        <w:tcPr>
          <w:tcW w:w="928" w:type="dxa"/>
        </w:tcPr>
        <w:p w14:paraId="0F94990D" w14:textId="77777777" w:rsidR="00DF24DF" w:rsidRDefault="00DF24DF" w:rsidP="00DF24DF">
          <w:pPr>
            <w:pStyle w:val="MainText"/>
          </w:pPr>
        </w:p>
      </w:tc>
      <w:tc>
        <w:tcPr>
          <w:tcW w:w="7860" w:type="dxa"/>
          <w:tcBorders>
            <w:bottom w:val="single" w:sz="12" w:space="0" w:color="auto"/>
          </w:tcBorders>
        </w:tcPr>
        <w:p w14:paraId="52C04337" w14:textId="77777777" w:rsidR="00DF24DF" w:rsidRPr="004D3906" w:rsidRDefault="00DF24DF" w:rsidP="00DF24DF">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34DF775D" w14:textId="77777777" w:rsidR="00DF24DF" w:rsidRDefault="00DF24DF" w:rsidP="00DF24DF">
          <w:pPr>
            <w:pStyle w:val="MainText"/>
          </w:pPr>
        </w:p>
      </w:tc>
      <w:tc>
        <w:tcPr>
          <w:tcW w:w="567" w:type="dxa"/>
        </w:tcPr>
        <w:p w14:paraId="7BF2F137" w14:textId="77777777" w:rsidR="00DF24DF" w:rsidRDefault="00DF24DF" w:rsidP="00DF24DF">
          <w:pPr>
            <w:pStyle w:val="MainText"/>
          </w:pPr>
        </w:p>
      </w:tc>
      <w:tc>
        <w:tcPr>
          <w:tcW w:w="567" w:type="dxa"/>
        </w:tcPr>
        <w:p w14:paraId="321CC14B" w14:textId="77777777" w:rsidR="00DF24DF" w:rsidRDefault="00DF24DF" w:rsidP="00DF24DF">
          <w:pPr>
            <w:pStyle w:val="MainText"/>
          </w:pPr>
        </w:p>
      </w:tc>
    </w:tr>
  </w:tbl>
  <w:p w14:paraId="51AF1258" w14:textId="77777777" w:rsidR="006F4D01" w:rsidRDefault="006F4D01" w:rsidP="004D3906">
    <w:pPr>
      <w:pStyle w:val="Header1"/>
      <w:rPr>
        <w:sz w:val="8"/>
      </w:rPr>
    </w:pPr>
  </w:p>
  <w:p w14:paraId="445F98AE" w14:textId="77777777" w:rsidR="006F4D01" w:rsidRDefault="006F4D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D44C8D" w14:paraId="2ACFA6D2" w14:textId="77777777" w:rsidTr="00C0739A">
      <w:trPr>
        <w:cantSplit/>
      </w:trPr>
      <w:tc>
        <w:tcPr>
          <w:tcW w:w="522" w:type="dxa"/>
        </w:tcPr>
        <w:p w14:paraId="51C3FA55" w14:textId="77777777" w:rsidR="00D44C8D" w:rsidRDefault="00D44C8D" w:rsidP="00D44C8D">
          <w:pPr>
            <w:pStyle w:val="MainText"/>
          </w:pPr>
        </w:p>
      </w:tc>
      <w:tc>
        <w:tcPr>
          <w:tcW w:w="710" w:type="dxa"/>
        </w:tcPr>
        <w:p w14:paraId="66677A79" w14:textId="77777777" w:rsidR="00D44C8D" w:rsidRDefault="00D44C8D" w:rsidP="00D44C8D">
          <w:pPr>
            <w:pStyle w:val="MainText"/>
          </w:pPr>
        </w:p>
      </w:tc>
      <w:tc>
        <w:tcPr>
          <w:tcW w:w="928" w:type="dxa"/>
        </w:tcPr>
        <w:p w14:paraId="2AD26DDE" w14:textId="77777777" w:rsidR="00D44C8D" w:rsidRDefault="00D44C8D" w:rsidP="00D44C8D">
          <w:pPr>
            <w:pStyle w:val="MainText"/>
          </w:pPr>
        </w:p>
      </w:tc>
      <w:tc>
        <w:tcPr>
          <w:tcW w:w="7860" w:type="dxa"/>
          <w:tcBorders>
            <w:bottom w:val="single" w:sz="12" w:space="0" w:color="auto"/>
          </w:tcBorders>
        </w:tcPr>
        <w:p w14:paraId="65CDA56E" w14:textId="77777777" w:rsidR="00D44C8D" w:rsidRDefault="00D44C8D" w:rsidP="00D44C8D">
          <w:pPr>
            <w:pStyle w:val="MainText"/>
            <w:spacing w:line="600" w:lineRule="atLeast"/>
          </w:pPr>
        </w:p>
      </w:tc>
      <w:tc>
        <w:tcPr>
          <w:tcW w:w="425" w:type="dxa"/>
        </w:tcPr>
        <w:p w14:paraId="1D504741" w14:textId="77777777" w:rsidR="00D44C8D" w:rsidRDefault="00D44C8D" w:rsidP="00D44C8D">
          <w:pPr>
            <w:pStyle w:val="MainText"/>
          </w:pPr>
        </w:p>
      </w:tc>
      <w:tc>
        <w:tcPr>
          <w:tcW w:w="567" w:type="dxa"/>
        </w:tcPr>
        <w:p w14:paraId="2BCA375F" w14:textId="77777777" w:rsidR="00D44C8D" w:rsidRDefault="00D44C8D" w:rsidP="00D44C8D">
          <w:pPr>
            <w:pStyle w:val="MainText"/>
          </w:pPr>
        </w:p>
      </w:tc>
      <w:tc>
        <w:tcPr>
          <w:tcW w:w="567" w:type="dxa"/>
        </w:tcPr>
        <w:p w14:paraId="07BAF82E" w14:textId="77777777" w:rsidR="00D44C8D" w:rsidRDefault="00D44C8D" w:rsidP="00D44C8D">
          <w:pPr>
            <w:pStyle w:val="MainText"/>
          </w:pPr>
        </w:p>
      </w:tc>
    </w:tr>
    <w:tr w:rsidR="00D44C8D" w14:paraId="42A4DDE2" w14:textId="77777777" w:rsidTr="00C0739A">
      <w:trPr>
        <w:cantSplit/>
      </w:trPr>
      <w:tc>
        <w:tcPr>
          <w:tcW w:w="522" w:type="dxa"/>
        </w:tcPr>
        <w:p w14:paraId="7B3FA346" w14:textId="77777777" w:rsidR="00D44C8D" w:rsidRDefault="00D44C8D" w:rsidP="00D44C8D">
          <w:pPr>
            <w:pStyle w:val="MainText"/>
          </w:pPr>
        </w:p>
      </w:tc>
      <w:tc>
        <w:tcPr>
          <w:tcW w:w="710" w:type="dxa"/>
        </w:tcPr>
        <w:p w14:paraId="53679E3A" w14:textId="77777777" w:rsidR="00D44C8D" w:rsidRDefault="00D44C8D" w:rsidP="00D44C8D">
          <w:pPr>
            <w:pStyle w:val="MainText"/>
          </w:pPr>
        </w:p>
      </w:tc>
      <w:tc>
        <w:tcPr>
          <w:tcW w:w="928" w:type="dxa"/>
        </w:tcPr>
        <w:p w14:paraId="492E0331" w14:textId="77777777" w:rsidR="00D44C8D" w:rsidRDefault="00D44C8D" w:rsidP="00D44C8D">
          <w:pPr>
            <w:pStyle w:val="MainText"/>
          </w:pPr>
        </w:p>
      </w:tc>
      <w:tc>
        <w:tcPr>
          <w:tcW w:w="7860" w:type="dxa"/>
          <w:tcBorders>
            <w:top w:val="single" w:sz="12" w:space="0" w:color="auto"/>
          </w:tcBorders>
        </w:tcPr>
        <w:p w14:paraId="053D4CC4" w14:textId="77777777" w:rsidR="00D44C8D" w:rsidRPr="004D3906" w:rsidRDefault="00D44C8D" w:rsidP="00D44C8D">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Pr>
              <w:rFonts w:ascii="Calibri Light" w:hAnsi="Calibri Light" w:cs="Calibri Light"/>
            </w:rPr>
            <w:t>5</w:t>
          </w:r>
          <w:r w:rsidRPr="004D3906">
            <w:rPr>
              <w:rFonts w:ascii="Calibri Light" w:hAnsi="Calibri Light" w:cs="Calibri Light"/>
            </w:rPr>
            <w:t xml:space="preserve">, No. </w:t>
          </w:r>
          <w:r>
            <w:rPr>
              <w:rFonts w:ascii="Calibri Light" w:hAnsi="Calibri Light" w:cs="Calibri Light"/>
            </w:rPr>
            <w:t>1</w:t>
          </w:r>
          <w:r w:rsidRPr="004D3906">
            <w:rPr>
              <w:rFonts w:ascii="Calibri Light" w:hAnsi="Calibri Light" w:cs="Calibri Light"/>
            </w:rPr>
            <w:t xml:space="preserve">, </w:t>
          </w:r>
          <w:r>
            <w:rPr>
              <w:rFonts w:ascii="Calibri Light" w:hAnsi="Calibri Light" w:cs="Calibri Light"/>
            </w:rPr>
            <w:t>2024</w:t>
          </w:r>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00351A0B">
            <w:rPr>
              <w:rFonts w:ascii="Calibri Light" w:hAnsi="Calibri Light" w:cs="Calibri Light"/>
              <w:noProof/>
            </w:rPr>
            <w:t>11</w:t>
          </w:r>
          <w:r w:rsidRPr="004D3906">
            <w:rPr>
              <w:rFonts w:ascii="Calibri Light" w:hAnsi="Calibri Light" w:cs="Calibri Light"/>
            </w:rPr>
            <w:fldChar w:fldCharType="end"/>
          </w:r>
        </w:p>
      </w:tc>
      <w:tc>
        <w:tcPr>
          <w:tcW w:w="425" w:type="dxa"/>
        </w:tcPr>
        <w:p w14:paraId="1BB6A624" w14:textId="77777777" w:rsidR="00D44C8D" w:rsidRDefault="00D44C8D" w:rsidP="00D44C8D">
          <w:pPr>
            <w:pStyle w:val="MainText"/>
          </w:pPr>
        </w:p>
      </w:tc>
      <w:tc>
        <w:tcPr>
          <w:tcW w:w="567" w:type="dxa"/>
        </w:tcPr>
        <w:p w14:paraId="491069A0" w14:textId="77777777" w:rsidR="00D44C8D" w:rsidRDefault="00D44C8D" w:rsidP="00D44C8D">
          <w:pPr>
            <w:pStyle w:val="MainText"/>
          </w:pPr>
        </w:p>
      </w:tc>
      <w:tc>
        <w:tcPr>
          <w:tcW w:w="567" w:type="dxa"/>
        </w:tcPr>
        <w:p w14:paraId="15B101F5" w14:textId="77777777" w:rsidR="00D44C8D" w:rsidRDefault="00D44C8D" w:rsidP="00D44C8D">
          <w:pPr>
            <w:pStyle w:val="MainText"/>
          </w:pPr>
        </w:p>
      </w:tc>
    </w:tr>
    <w:tr w:rsidR="00D44C8D" w14:paraId="133F6669" w14:textId="77777777" w:rsidTr="00C0739A">
      <w:trPr>
        <w:cantSplit/>
      </w:trPr>
      <w:tc>
        <w:tcPr>
          <w:tcW w:w="522" w:type="dxa"/>
        </w:tcPr>
        <w:p w14:paraId="49E104B0" w14:textId="77777777" w:rsidR="00D44C8D" w:rsidRDefault="00D44C8D" w:rsidP="00D44C8D">
          <w:pPr>
            <w:pStyle w:val="MainText"/>
          </w:pPr>
        </w:p>
      </w:tc>
      <w:tc>
        <w:tcPr>
          <w:tcW w:w="710" w:type="dxa"/>
        </w:tcPr>
        <w:p w14:paraId="587DA8C1" w14:textId="77777777" w:rsidR="00D44C8D" w:rsidRDefault="00D44C8D" w:rsidP="00D44C8D">
          <w:pPr>
            <w:pStyle w:val="MainText"/>
          </w:pPr>
        </w:p>
      </w:tc>
      <w:tc>
        <w:tcPr>
          <w:tcW w:w="928" w:type="dxa"/>
        </w:tcPr>
        <w:p w14:paraId="67BFE5A1" w14:textId="77777777" w:rsidR="00D44C8D" w:rsidRDefault="00D44C8D" w:rsidP="00D44C8D">
          <w:pPr>
            <w:pStyle w:val="MainText"/>
          </w:pPr>
        </w:p>
      </w:tc>
      <w:tc>
        <w:tcPr>
          <w:tcW w:w="7860" w:type="dxa"/>
          <w:tcBorders>
            <w:bottom w:val="single" w:sz="12" w:space="0" w:color="auto"/>
          </w:tcBorders>
        </w:tcPr>
        <w:p w14:paraId="47D93272" w14:textId="77777777" w:rsidR="00D44C8D" w:rsidRPr="004D3906" w:rsidRDefault="00D44C8D" w:rsidP="00D44C8D">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72711AE6" w14:textId="77777777" w:rsidR="00D44C8D" w:rsidRDefault="00D44C8D" w:rsidP="00D44C8D">
          <w:pPr>
            <w:pStyle w:val="MainText"/>
          </w:pPr>
        </w:p>
      </w:tc>
      <w:tc>
        <w:tcPr>
          <w:tcW w:w="567" w:type="dxa"/>
        </w:tcPr>
        <w:p w14:paraId="7821E170" w14:textId="77777777" w:rsidR="00D44C8D" w:rsidRDefault="00D44C8D" w:rsidP="00D44C8D">
          <w:pPr>
            <w:pStyle w:val="MainText"/>
          </w:pPr>
        </w:p>
      </w:tc>
      <w:tc>
        <w:tcPr>
          <w:tcW w:w="567" w:type="dxa"/>
        </w:tcPr>
        <w:p w14:paraId="46D27781" w14:textId="77777777" w:rsidR="00D44C8D" w:rsidRDefault="00D44C8D" w:rsidP="00D44C8D">
          <w:pPr>
            <w:pStyle w:val="MainText"/>
          </w:pPr>
        </w:p>
      </w:tc>
    </w:tr>
  </w:tbl>
  <w:p w14:paraId="193A2C1B" w14:textId="77777777" w:rsidR="006F4D01" w:rsidRDefault="006F4D01" w:rsidP="004D3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6F4D01" w14:paraId="36914EEB" w14:textId="77777777" w:rsidTr="00E7382C">
      <w:trPr>
        <w:cantSplit/>
      </w:trPr>
      <w:tc>
        <w:tcPr>
          <w:tcW w:w="522" w:type="dxa"/>
        </w:tcPr>
        <w:p w14:paraId="3E0BD6BF" w14:textId="77777777" w:rsidR="006F4D01" w:rsidRDefault="006F4D01" w:rsidP="004D3906">
          <w:pPr>
            <w:pStyle w:val="MainText"/>
          </w:pPr>
        </w:p>
      </w:tc>
      <w:tc>
        <w:tcPr>
          <w:tcW w:w="710" w:type="dxa"/>
        </w:tcPr>
        <w:p w14:paraId="673A3833" w14:textId="77777777" w:rsidR="006F4D01" w:rsidRDefault="006F4D01" w:rsidP="004D3906">
          <w:pPr>
            <w:pStyle w:val="MainText"/>
          </w:pPr>
        </w:p>
      </w:tc>
      <w:tc>
        <w:tcPr>
          <w:tcW w:w="928" w:type="dxa"/>
        </w:tcPr>
        <w:p w14:paraId="3F8ADC10" w14:textId="77777777" w:rsidR="006F4D01" w:rsidRDefault="006F4D01" w:rsidP="004D3906">
          <w:pPr>
            <w:pStyle w:val="MainText"/>
          </w:pPr>
        </w:p>
      </w:tc>
      <w:tc>
        <w:tcPr>
          <w:tcW w:w="7860" w:type="dxa"/>
          <w:tcBorders>
            <w:bottom w:val="single" w:sz="12" w:space="0" w:color="auto"/>
          </w:tcBorders>
        </w:tcPr>
        <w:p w14:paraId="4D291BFE" w14:textId="77777777" w:rsidR="006F4D01" w:rsidRDefault="006F4D01" w:rsidP="004D3906">
          <w:pPr>
            <w:pStyle w:val="MainText"/>
            <w:spacing w:line="600" w:lineRule="atLeast"/>
          </w:pPr>
        </w:p>
      </w:tc>
      <w:tc>
        <w:tcPr>
          <w:tcW w:w="425" w:type="dxa"/>
        </w:tcPr>
        <w:p w14:paraId="3D23B25F" w14:textId="77777777" w:rsidR="006F4D01" w:rsidRDefault="006F4D01" w:rsidP="004D3906">
          <w:pPr>
            <w:pStyle w:val="MainText"/>
          </w:pPr>
        </w:p>
      </w:tc>
      <w:tc>
        <w:tcPr>
          <w:tcW w:w="567" w:type="dxa"/>
        </w:tcPr>
        <w:p w14:paraId="1D7EAAD9" w14:textId="77777777" w:rsidR="006F4D01" w:rsidRDefault="006F4D01" w:rsidP="004D3906">
          <w:pPr>
            <w:pStyle w:val="MainText"/>
          </w:pPr>
        </w:p>
      </w:tc>
      <w:tc>
        <w:tcPr>
          <w:tcW w:w="567" w:type="dxa"/>
        </w:tcPr>
        <w:p w14:paraId="1F6D137C" w14:textId="77777777" w:rsidR="006F4D01" w:rsidRDefault="006F4D01" w:rsidP="004D3906">
          <w:pPr>
            <w:pStyle w:val="MainText"/>
          </w:pPr>
        </w:p>
      </w:tc>
    </w:tr>
    <w:tr w:rsidR="006F4D01" w14:paraId="65B5AC5B" w14:textId="77777777" w:rsidTr="004D3906">
      <w:trPr>
        <w:cantSplit/>
      </w:trPr>
      <w:tc>
        <w:tcPr>
          <w:tcW w:w="522" w:type="dxa"/>
        </w:tcPr>
        <w:p w14:paraId="7F8D6329" w14:textId="77777777" w:rsidR="006F4D01" w:rsidRDefault="006F4D01" w:rsidP="004D3906">
          <w:pPr>
            <w:pStyle w:val="MainText"/>
          </w:pPr>
        </w:p>
      </w:tc>
      <w:tc>
        <w:tcPr>
          <w:tcW w:w="710" w:type="dxa"/>
        </w:tcPr>
        <w:p w14:paraId="6E221B45" w14:textId="77777777" w:rsidR="006F4D01" w:rsidRDefault="006F4D01" w:rsidP="004D3906">
          <w:pPr>
            <w:pStyle w:val="MainText"/>
          </w:pPr>
        </w:p>
      </w:tc>
      <w:tc>
        <w:tcPr>
          <w:tcW w:w="928" w:type="dxa"/>
        </w:tcPr>
        <w:p w14:paraId="2D7D1E2E" w14:textId="77777777" w:rsidR="006F4D01" w:rsidRDefault="006F4D01" w:rsidP="004D3906">
          <w:pPr>
            <w:pStyle w:val="MainText"/>
          </w:pPr>
        </w:p>
      </w:tc>
      <w:tc>
        <w:tcPr>
          <w:tcW w:w="7860" w:type="dxa"/>
          <w:tcBorders>
            <w:top w:val="single" w:sz="12" w:space="0" w:color="auto"/>
          </w:tcBorders>
        </w:tcPr>
        <w:p w14:paraId="33FB84C8" w14:textId="5CC339D5" w:rsidR="006F4D01" w:rsidRPr="004D3906" w:rsidRDefault="006F4D01" w:rsidP="004D3906">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sidR="005B1C01">
            <w:rPr>
              <w:rFonts w:ascii="Calibri Light" w:hAnsi="Calibri Light" w:cs="Calibri Light"/>
            </w:rPr>
            <w:t>5</w:t>
          </w:r>
          <w:r w:rsidRPr="004D3906">
            <w:rPr>
              <w:rFonts w:ascii="Calibri Light" w:hAnsi="Calibri Light" w:cs="Calibri Light"/>
            </w:rPr>
            <w:t xml:space="preserve">, No. </w:t>
          </w:r>
          <w:r w:rsidR="005B1C01">
            <w:rPr>
              <w:rFonts w:ascii="Calibri Light" w:hAnsi="Calibri Light" w:cs="Calibri Light"/>
            </w:rPr>
            <w:t>1</w:t>
          </w:r>
          <w:r w:rsidRPr="004D3906">
            <w:rPr>
              <w:rFonts w:ascii="Calibri Light" w:hAnsi="Calibri Light" w:cs="Calibri Light"/>
            </w:rPr>
            <w:t xml:space="preserve">, </w:t>
          </w:r>
          <w:r w:rsidR="005B1C01">
            <w:rPr>
              <w:rFonts w:ascii="Calibri Light" w:hAnsi="Calibri Light" w:cs="Calibri Light"/>
            </w:rPr>
            <w:t>2024</w:t>
          </w:r>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00351A0B">
            <w:rPr>
              <w:rFonts w:ascii="Calibri Light" w:hAnsi="Calibri Light" w:cs="Calibri Light"/>
              <w:noProof/>
            </w:rPr>
            <w:t>1</w:t>
          </w:r>
          <w:r w:rsidRPr="004D3906">
            <w:rPr>
              <w:rFonts w:ascii="Calibri Light" w:hAnsi="Calibri Light" w:cs="Calibri Light"/>
            </w:rPr>
            <w:fldChar w:fldCharType="end"/>
          </w:r>
        </w:p>
      </w:tc>
      <w:tc>
        <w:tcPr>
          <w:tcW w:w="425" w:type="dxa"/>
        </w:tcPr>
        <w:p w14:paraId="5321BDBA" w14:textId="77777777" w:rsidR="006F4D01" w:rsidRDefault="006F4D01" w:rsidP="004D3906">
          <w:pPr>
            <w:pStyle w:val="MainText"/>
          </w:pPr>
        </w:p>
      </w:tc>
      <w:tc>
        <w:tcPr>
          <w:tcW w:w="567" w:type="dxa"/>
        </w:tcPr>
        <w:p w14:paraId="507876F0" w14:textId="77777777" w:rsidR="006F4D01" w:rsidRDefault="006F4D01" w:rsidP="004D3906">
          <w:pPr>
            <w:pStyle w:val="MainText"/>
          </w:pPr>
        </w:p>
      </w:tc>
      <w:tc>
        <w:tcPr>
          <w:tcW w:w="567" w:type="dxa"/>
        </w:tcPr>
        <w:p w14:paraId="3877C462" w14:textId="77777777" w:rsidR="006F4D01" w:rsidRDefault="006F4D01" w:rsidP="004D3906">
          <w:pPr>
            <w:pStyle w:val="MainText"/>
          </w:pPr>
        </w:p>
      </w:tc>
    </w:tr>
    <w:tr w:rsidR="006F4D01" w14:paraId="15BD7676" w14:textId="77777777" w:rsidTr="004D3906">
      <w:trPr>
        <w:cantSplit/>
      </w:trPr>
      <w:tc>
        <w:tcPr>
          <w:tcW w:w="522" w:type="dxa"/>
        </w:tcPr>
        <w:p w14:paraId="05A20736" w14:textId="77777777" w:rsidR="006F4D01" w:rsidRDefault="006F4D01" w:rsidP="004D3906">
          <w:pPr>
            <w:pStyle w:val="MainText"/>
          </w:pPr>
        </w:p>
      </w:tc>
      <w:tc>
        <w:tcPr>
          <w:tcW w:w="710" w:type="dxa"/>
        </w:tcPr>
        <w:p w14:paraId="33FB6887" w14:textId="77777777" w:rsidR="006F4D01" w:rsidRDefault="006F4D01" w:rsidP="004D3906">
          <w:pPr>
            <w:pStyle w:val="MainText"/>
          </w:pPr>
        </w:p>
      </w:tc>
      <w:tc>
        <w:tcPr>
          <w:tcW w:w="928" w:type="dxa"/>
        </w:tcPr>
        <w:p w14:paraId="4EE5C893" w14:textId="77777777" w:rsidR="006F4D01" w:rsidRDefault="006F4D01" w:rsidP="004D3906">
          <w:pPr>
            <w:pStyle w:val="MainText"/>
          </w:pPr>
        </w:p>
      </w:tc>
      <w:tc>
        <w:tcPr>
          <w:tcW w:w="7860" w:type="dxa"/>
          <w:tcBorders>
            <w:bottom w:val="single" w:sz="12" w:space="0" w:color="auto"/>
          </w:tcBorders>
        </w:tcPr>
        <w:p w14:paraId="604C9ED2" w14:textId="77777777" w:rsidR="006F4D01" w:rsidRPr="004D3906" w:rsidRDefault="006F4D01" w:rsidP="004D3906">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7675BBF2" w14:textId="77777777" w:rsidR="006F4D01" w:rsidRDefault="006F4D01" w:rsidP="004D3906">
          <w:pPr>
            <w:pStyle w:val="MainText"/>
          </w:pPr>
        </w:p>
      </w:tc>
      <w:tc>
        <w:tcPr>
          <w:tcW w:w="567" w:type="dxa"/>
        </w:tcPr>
        <w:p w14:paraId="1DB83511" w14:textId="77777777" w:rsidR="006F4D01" w:rsidRDefault="006F4D01" w:rsidP="004D3906">
          <w:pPr>
            <w:pStyle w:val="MainText"/>
          </w:pPr>
        </w:p>
      </w:tc>
      <w:tc>
        <w:tcPr>
          <w:tcW w:w="567" w:type="dxa"/>
        </w:tcPr>
        <w:p w14:paraId="3ED89448" w14:textId="77777777" w:rsidR="006F4D01" w:rsidRDefault="006F4D01" w:rsidP="004D3906">
          <w:pPr>
            <w:pStyle w:val="MainText"/>
          </w:pPr>
        </w:p>
      </w:tc>
    </w:tr>
  </w:tbl>
  <w:p w14:paraId="20763A5A" w14:textId="77777777" w:rsidR="006F4D01" w:rsidRDefault="006F4D01" w:rsidP="008D5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9DA"/>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B1E79"/>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236F5E"/>
    <w:multiLevelType w:val="hybridMultilevel"/>
    <w:tmpl w:val="2BE44B62"/>
    <w:lvl w:ilvl="0" w:tplc="85E65F98">
      <w:start w:val="1"/>
      <w:numFmt w:val="decimal"/>
      <w:lvlText w:val="%1."/>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355DEA"/>
    <w:multiLevelType w:val="hybridMultilevel"/>
    <w:tmpl w:val="2E14212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2F6E40B8"/>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C72FEC"/>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501BAC"/>
    <w:multiLevelType w:val="hybridMultilevel"/>
    <w:tmpl w:val="9E46664C"/>
    <w:lvl w:ilvl="0" w:tplc="3809000F">
      <w:start w:val="1"/>
      <w:numFmt w:val="decimal"/>
      <w:lvlText w:val="%1."/>
      <w:lvlJc w:val="left"/>
      <w:pPr>
        <w:ind w:left="796" w:hanging="360"/>
      </w:pPr>
    </w:lvl>
    <w:lvl w:ilvl="1" w:tplc="38090019" w:tentative="1">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7" w15:restartNumberingAfterBreak="0">
    <w:nsid w:val="64F00ED4"/>
    <w:multiLevelType w:val="hybridMultilevel"/>
    <w:tmpl w:val="8DA80A90"/>
    <w:lvl w:ilvl="0" w:tplc="7FB25A10">
      <w:start w:val="1"/>
      <w:numFmt w:val="lowerLetter"/>
      <w:lvlText w:val="%1."/>
      <w:lvlJc w:val="left"/>
      <w:pPr>
        <w:ind w:left="716" w:hanging="360"/>
      </w:pPr>
      <w:rPr>
        <w:rFonts w:hint="default"/>
      </w:rPr>
    </w:lvl>
    <w:lvl w:ilvl="1" w:tplc="38090019" w:tentative="1">
      <w:start w:val="1"/>
      <w:numFmt w:val="lowerLetter"/>
      <w:lvlText w:val="%2."/>
      <w:lvlJc w:val="left"/>
      <w:pPr>
        <w:ind w:left="1436" w:hanging="360"/>
      </w:pPr>
    </w:lvl>
    <w:lvl w:ilvl="2" w:tplc="3809001B" w:tentative="1">
      <w:start w:val="1"/>
      <w:numFmt w:val="lowerRoman"/>
      <w:lvlText w:val="%3."/>
      <w:lvlJc w:val="right"/>
      <w:pPr>
        <w:ind w:left="2156" w:hanging="180"/>
      </w:pPr>
    </w:lvl>
    <w:lvl w:ilvl="3" w:tplc="3809000F" w:tentative="1">
      <w:start w:val="1"/>
      <w:numFmt w:val="decimal"/>
      <w:lvlText w:val="%4."/>
      <w:lvlJc w:val="left"/>
      <w:pPr>
        <w:ind w:left="2876" w:hanging="360"/>
      </w:pPr>
    </w:lvl>
    <w:lvl w:ilvl="4" w:tplc="38090019" w:tentative="1">
      <w:start w:val="1"/>
      <w:numFmt w:val="lowerLetter"/>
      <w:lvlText w:val="%5."/>
      <w:lvlJc w:val="left"/>
      <w:pPr>
        <w:ind w:left="3596" w:hanging="360"/>
      </w:pPr>
    </w:lvl>
    <w:lvl w:ilvl="5" w:tplc="3809001B" w:tentative="1">
      <w:start w:val="1"/>
      <w:numFmt w:val="lowerRoman"/>
      <w:lvlText w:val="%6."/>
      <w:lvlJc w:val="right"/>
      <w:pPr>
        <w:ind w:left="4316" w:hanging="180"/>
      </w:pPr>
    </w:lvl>
    <w:lvl w:ilvl="6" w:tplc="3809000F" w:tentative="1">
      <w:start w:val="1"/>
      <w:numFmt w:val="decimal"/>
      <w:lvlText w:val="%7."/>
      <w:lvlJc w:val="left"/>
      <w:pPr>
        <w:ind w:left="5036" w:hanging="360"/>
      </w:pPr>
    </w:lvl>
    <w:lvl w:ilvl="7" w:tplc="38090019" w:tentative="1">
      <w:start w:val="1"/>
      <w:numFmt w:val="lowerLetter"/>
      <w:lvlText w:val="%8."/>
      <w:lvlJc w:val="left"/>
      <w:pPr>
        <w:ind w:left="5756" w:hanging="360"/>
      </w:pPr>
    </w:lvl>
    <w:lvl w:ilvl="8" w:tplc="3809001B" w:tentative="1">
      <w:start w:val="1"/>
      <w:numFmt w:val="lowerRoman"/>
      <w:lvlText w:val="%9."/>
      <w:lvlJc w:val="right"/>
      <w:pPr>
        <w:ind w:left="6476" w:hanging="180"/>
      </w:pPr>
    </w:lvl>
  </w:abstractNum>
  <w:abstractNum w:abstractNumId="8" w15:restartNumberingAfterBreak="0">
    <w:nsid w:val="6B4D40F9"/>
    <w:multiLevelType w:val="hybridMultilevel"/>
    <w:tmpl w:val="B2BC439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7A3E6FDC"/>
    <w:multiLevelType w:val="hybridMultilevel"/>
    <w:tmpl w:val="42ECCCC0"/>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0" w15:restartNumberingAfterBreak="0">
    <w:nsid w:val="7CEE0334"/>
    <w:multiLevelType w:val="hybridMultilevel"/>
    <w:tmpl w:val="2E6C31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24868526">
    <w:abstractNumId w:val="0"/>
  </w:num>
  <w:num w:numId="2" w16cid:durableId="1934170838">
    <w:abstractNumId w:val="7"/>
  </w:num>
  <w:num w:numId="3" w16cid:durableId="266814672">
    <w:abstractNumId w:val="1"/>
  </w:num>
  <w:num w:numId="4" w16cid:durableId="1304896294">
    <w:abstractNumId w:val="5"/>
  </w:num>
  <w:num w:numId="5" w16cid:durableId="1923836255">
    <w:abstractNumId w:val="4"/>
  </w:num>
  <w:num w:numId="6" w16cid:durableId="159124066">
    <w:abstractNumId w:val="8"/>
  </w:num>
  <w:num w:numId="7" w16cid:durableId="1023440743">
    <w:abstractNumId w:val="9"/>
  </w:num>
  <w:num w:numId="8" w16cid:durableId="2121680796">
    <w:abstractNumId w:val="10"/>
  </w:num>
  <w:num w:numId="9" w16cid:durableId="1641423039">
    <w:abstractNumId w:val="3"/>
  </w:num>
  <w:num w:numId="10" w16cid:durableId="986209010">
    <w:abstractNumId w:val="6"/>
  </w:num>
  <w:num w:numId="11" w16cid:durableId="520163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sDAwtjQwNjA2NjVS0lEKTi0uzszPAykwqgUA4YzALSwAAAA="/>
  </w:docVars>
  <w:rsids>
    <w:rsidRoot w:val="004D3906"/>
    <w:rsid w:val="00057260"/>
    <w:rsid w:val="000775BF"/>
    <w:rsid w:val="000B42AE"/>
    <w:rsid w:val="000D15C3"/>
    <w:rsid w:val="001161BA"/>
    <w:rsid w:val="00130684"/>
    <w:rsid w:val="0014033A"/>
    <w:rsid w:val="001415C2"/>
    <w:rsid w:val="001A728B"/>
    <w:rsid w:val="001D735D"/>
    <w:rsid w:val="00230A71"/>
    <w:rsid w:val="002330A3"/>
    <w:rsid w:val="002571BD"/>
    <w:rsid w:val="00262497"/>
    <w:rsid w:val="00282240"/>
    <w:rsid w:val="002C15CC"/>
    <w:rsid w:val="00321201"/>
    <w:rsid w:val="00326490"/>
    <w:rsid w:val="003315E3"/>
    <w:rsid w:val="00351A0B"/>
    <w:rsid w:val="00354942"/>
    <w:rsid w:val="003D664D"/>
    <w:rsid w:val="003D6C68"/>
    <w:rsid w:val="00421797"/>
    <w:rsid w:val="00487AFF"/>
    <w:rsid w:val="00494F01"/>
    <w:rsid w:val="004D3906"/>
    <w:rsid w:val="00547A5B"/>
    <w:rsid w:val="00562FB3"/>
    <w:rsid w:val="005834DE"/>
    <w:rsid w:val="005A3471"/>
    <w:rsid w:val="005B0610"/>
    <w:rsid w:val="005B1C01"/>
    <w:rsid w:val="005B30FC"/>
    <w:rsid w:val="005C5DA4"/>
    <w:rsid w:val="005D66D2"/>
    <w:rsid w:val="005E0B80"/>
    <w:rsid w:val="006250CA"/>
    <w:rsid w:val="0066167E"/>
    <w:rsid w:val="006A33E4"/>
    <w:rsid w:val="006B7455"/>
    <w:rsid w:val="006B7B7B"/>
    <w:rsid w:val="006D767F"/>
    <w:rsid w:val="006D77F9"/>
    <w:rsid w:val="006F4D01"/>
    <w:rsid w:val="0070295F"/>
    <w:rsid w:val="00711252"/>
    <w:rsid w:val="0073782C"/>
    <w:rsid w:val="00772869"/>
    <w:rsid w:val="0078343B"/>
    <w:rsid w:val="007C28B2"/>
    <w:rsid w:val="0081151B"/>
    <w:rsid w:val="00836192"/>
    <w:rsid w:val="00836217"/>
    <w:rsid w:val="00856DC2"/>
    <w:rsid w:val="00880466"/>
    <w:rsid w:val="00891BB9"/>
    <w:rsid w:val="0089719A"/>
    <w:rsid w:val="008C0E38"/>
    <w:rsid w:val="008D576A"/>
    <w:rsid w:val="008F0CF1"/>
    <w:rsid w:val="0091064C"/>
    <w:rsid w:val="00922C81"/>
    <w:rsid w:val="009442C8"/>
    <w:rsid w:val="00964D66"/>
    <w:rsid w:val="00964DEC"/>
    <w:rsid w:val="00966744"/>
    <w:rsid w:val="009771C9"/>
    <w:rsid w:val="009B6954"/>
    <w:rsid w:val="00A60993"/>
    <w:rsid w:val="00A8768B"/>
    <w:rsid w:val="00A92E04"/>
    <w:rsid w:val="00A92F42"/>
    <w:rsid w:val="00AB6227"/>
    <w:rsid w:val="00AD4B9A"/>
    <w:rsid w:val="00B60F37"/>
    <w:rsid w:val="00B619F2"/>
    <w:rsid w:val="00BA217D"/>
    <w:rsid w:val="00C270C0"/>
    <w:rsid w:val="00C32818"/>
    <w:rsid w:val="00CC1E8A"/>
    <w:rsid w:val="00CE3E0D"/>
    <w:rsid w:val="00CF5F81"/>
    <w:rsid w:val="00D44C8D"/>
    <w:rsid w:val="00D47267"/>
    <w:rsid w:val="00D602E2"/>
    <w:rsid w:val="00D94E5F"/>
    <w:rsid w:val="00D97DCE"/>
    <w:rsid w:val="00DB58C5"/>
    <w:rsid w:val="00DF24DF"/>
    <w:rsid w:val="00E32F7D"/>
    <w:rsid w:val="00E42CA8"/>
    <w:rsid w:val="00E7382C"/>
    <w:rsid w:val="00E73AFD"/>
    <w:rsid w:val="00EA5E9F"/>
    <w:rsid w:val="00EC7D79"/>
    <w:rsid w:val="00EE77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533A9"/>
  <w15:chartTrackingRefBased/>
  <w15:docId w15:val="{949F23B4-8013-4503-9983-FA4B8109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AFD"/>
    <w:pPr>
      <w:spacing w:after="0" w:line="240" w:lineRule="auto"/>
    </w:pPr>
    <w:rPr>
      <w:rFonts w:ascii="Times New Roman" w:hAnsi="Times New Roman"/>
      <w:sz w:val="24"/>
    </w:rPr>
  </w:style>
  <w:style w:type="paragraph" w:styleId="Header">
    <w:name w:val="header"/>
    <w:basedOn w:val="Normal"/>
    <w:link w:val="HeaderChar"/>
    <w:uiPriority w:val="99"/>
    <w:unhideWhenUsed/>
    <w:rsid w:val="004D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06"/>
  </w:style>
  <w:style w:type="paragraph" w:styleId="Footer">
    <w:name w:val="footer"/>
    <w:basedOn w:val="Normal"/>
    <w:link w:val="FooterChar"/>
    <w:unhideWhenUsed/>
    <w:rsid w:val="004D3906"/>
    <w:pPr>
      <w:tabs>
        <w:tab w:val="center" w:pos="4513"/>
        <w:tab w:val="right" w:pos="9026"/>
      </w:tabs>
      <w:spacing w:after="0" w:line="240" w:lineRule="auto"/>
    </w:pPr>
  </w:style>
  <w:style w:type="character" w:customStyle="1" w:styleId="FooterChar">
    <w:name w:val="Footer Char"/>
    <w:basedOn w:val="DefaultParagraphFont"/>
    <w:link w:val="Footer"/>
    <w:rsid w:val="004D3906"/>
  </w:style>
  <w:style w:type="paragraph" w:customStyle="1" w:styleId="MainText">
    <w:name w:val="MainText"/>
    <w:aliases w:val="MT"/>
    <w:basedOn w:val="Normal"/>
    <w:rsid w:val="004D3906"/>
    <w:pPr>
      <w:spacing w:after="0" w:line="240" w:lineRule="atLeast"/>
      <w:ind w:firstLine="300"/>
      <w:jc w:val="both"/>
    </w:pPr>
    <w:rPr>
      <w:rFonts w:ascii="Times New Roman" w:eastAsia="Times New Roman" w:hAnsi="Times New Roman" w:cs="Times New Roman"/>
      <w:kern w:val="0"/>
      <w:sz w:val="20"/>
      <w:szCs w:val="20"/>
      <w:lang w:val="en-GB"/>
      <w14:ligatures w14:val="none"/>
    </w:rPr>
  </w:style>
  <w:style w:type="paragraph" w:customStyle="1" w:styleId="Header1">
    <w:name w:val="Header1"/>
    <w:aliases w:val="RH"/>
    <w:basedOn w:val="MainText"/>
    <w:rsid w:val="004D3906"/>
    <w:pPr>
      <w:tabs>
        <w:tab w:val="left" w:pos="720"/>
        <w:tab w:val="right" w:pos="7200"/>
      </w:tabs>
      <w:spacing w:line="240" w:lineRule="auto"/>
      <w:ind w:firstLine="0"/>
      <w:jc w:val="left"/>
    </w:pPr>
    <w:rPr>
      <w:i/>
    </w:rPr>
  </w:style>
  <w:style w:type="table" w:styleId="TableGrid">
    <w:name w:val="Table Grid"/>
    <w:basedOn w:val="TableNormal"/>
    <w:uiPriority w:val="39"/>
    <w:rsid w:val="004D3906"/>
    <w:pPr>
      <w:spacing w:after="0" w:line="240" w:lineRule="auto"/>
    </w:pPr>
    <w:rPr>
      <w:rFonts w:ascii="New York" w:eastAsia="Times New Roman" w:hAnsi="New York"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0CA"/>
    <w:pPr>
      <w:ind w:left="720"/>
      <w:contextualSpacing/>
    </w:pPr>
  </w:style>
  <w:style w:type="character" w:styleId="Hyperlink">
    <w:name w:val="Hyperlink"/>
    <w:basedOn w:val="DefaultParagraphFont"/>
    <w:uiPriority w:val="99"/>
    <w:unhideWhenUsed/>
    <w:rsid w:val="00E7382C"/>
    <w:rPr>
      <w:color w:val="0563C1" w:themeColor="hyperlink"/>
      <w:u w:val="single"/>
    </w:rPr>
  </w:style>
  <w:style w:type="character" w:customStyle="1" w:styleId="fontstyle01">
    <w:name w:val="fontstyle01"/>
    <w:basedOn w:val="DefaultParagraphFont"/>
    <w:rsid w:val="003D6C68"/>
    <w:rPr>
      <w:rFonts w:ascii="BookAntiqua-Bold" w:hAnsi="BookAntiqua-Bold" w:hint="default"/>
      <w:b/>
      <w:bCs/>
      <w:i w:val="0"/>
      <w:iCs w:val="0"/>
      <w:color w:val="000000"/>
      <w:sz w:val="22"/>
      <w:szCs w:val="22"/>
    </w:rPr>
  </w:style>
  <w:style w:type="character" w:styleId="Strong">
    <w:name w:val="Strong"/>
    <w:basedOn w:val="DefaultParagraphFont"/>
    <w:uiPriority w:val="1"/>
    <w:qFormat/>
    <w:rsid w:val="003D6C68"/>
    <w:rPr>
      <w:b/>
      <w:bCs/>
    </w:rPr>
  </w:style>
  <w:style w:type="paragraph" w:styleId="NormalWeb">
    <w:name w:val="Normal (Web)"/>
    <w:basedOn w:val="Normal"/>
    <w:uiPriority w:val="99"/>
    <w:semiHidden/>
    <w:unhideWhenUsed/>
    <w:rsid w:val="005D66D2"/>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B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9749">
      <w:bodyDiv w:val="1"/>
      <w:marLeft w:val="0"/>
      <w:marRight w:val="0"/>
      <w:marTop w:val="0"/>
      <w:marBottom w:val="0"/>
      <w:divBdr>
        <w:top w:val="none" w:sz="0" w:space="0" w:color="auto"/>
        <w:left w:val="none" w:sz="0" w:space="0" w:color="auto"/>
        <w:bottom w:val="none" w:sz="0" w:space="0" w:color="auto"/>
        <w:right w:val="none" w:sz="0" w:space="0" w:color="auto"/>
      </w:divBdr>
    </w:div>
    <w:div w:id="112749705">
      <w:bodyDiv w:val="1"/>
      <w:marLeft w:val="0"/>
      <w:marRight w:val="0"/>
      <w:marTop w:val="0"/>
      <w:marBottom w:val="0"/>
      <w:divBdr>
        <w:top w:val="none" w:sz="0" w:space="0" w:color="auto"/>
        <w:left w:val="none" w:sz="0" w:space="0" w:color="auto"/>
        <w:bottom w:val="none" w:sz="0" w:space="0" w:color="auto"/>
        <w:right w:val="none" w:sz="0" w:space="0" w:color="auto"/>
      </w:divBdr>
    </w:div>
    <w:div w:id="223882392">
      <w:bodyDiv w:val="1"/>
      <w:marLeft w:val="0"/>
      <w:marRight w:val="0"/>
      <w:marTop w:val="0"/>
      <w:marBottom w:val="0"/>
      <w:divBdr>
        <w:top w:val="none" w:sz="0" w:space="0" w:color="auto"/>
        <w:left w:val="none" w:sz="0" w:space="0" w:color="auto"/>
        <w:bottom w:val="none" w:sz="0" w:space="0" w:color="auto"/>
        <w:right w:val="none" w:sz="0" w:space="0" w:color="auto"/>
      </w:divBdr>
    </w:div>
    <w:div w:id="314145816">
      <w:bodyDiv w:val="1"/>
      <w:marLeft w:val="0"/>
      <w:marRight w:val="0"/>
      <w:marTop w:val="0"/>
      <w:marBottom w:val="0"/>
      <w:divBdr>
        <w:top w:val="none" w:sz="0" w:space="0" w:color="auto"/>
        <w:left w:val="none" w:sz="0" w:space="0" w:color="auto"/>
        <w:bottom w:val="none" w:sz="0" w:space="0" w:color="auto"/>
        <w:right w:val="none" w:sz="0" w:space="0" w:color="auto"/>
      </w:divBdr>
    </w:div>
    <w:div w:id="319968810">
      <w:bodyDiv w:val="1"/>
      <w:marLeft w:val="0"/>
      <w:marRight w:val="0"/>
      <w:marTop w:val="0"/>
      <w:marBottom w:val="0"/>
      <w:divBdr>
        <w:top w:val="none" w:sz="0" w:space="0" w:color="auto"/>
        <w:left w:val="none" w:sz="0" w:space="0" w:color="auto"/>
        <w:bottom w:val="none" w:sz="0" w:space="0" w:color="auto"/>
        <w:right w:val="none" w:sz="0" w:space="0" w:color="auto"/>
      </w:divBdr>
    </w:div>
    <w:div w:id="410469959">
      <w:bodyDiv w:val="1"/>
      <w:marLeft w:val="0"/>
      <w:marRight w:val="0"/>
      <w:marTop w:val="0"/>
      <w:marBottom w:val="0"/>
      <w:divBdr>
        <w:top w:val="none" w:sz="0" w:space="0" w:color="auto"/>
        <w:left w:val="none" w:sz="0" w:space="0" w:color="auto"/>
        <w:bottom w:val="none" w:sz="0" w:space="0" w:color="auto"/>
        <w:right w:val="none" w:sz="0" w:space="0" w:color="auto"/>
      </w:divBdr>
    </w:div>
    <w:div w:id="624502067">
      <w:bodyDiv w:val="1"/>
      <w:marLeft w:val="0"/>
      <w:marRight w:val="0"/>
      <w:marTop w:val="0"/>
      <w:marBottom w:val="0"/>
      <w:divBdr>
        <w:top w:val="none" w:sz="0" w:space="0" w:color="auto"/>
        <w:left w:val="none" w:sz="0" w:space="0" w:color="auto"/>
        <w:bottom w:val="none" w:sz="0" w:space="0" w:color="auto"/>
        <w:right w:val="none" w:sz="0" w:space="0" w:color="auto"/>
      </w:divBdr>
    </w:div>
    <w:div w:id="672685129">
      <w:bodyDiv w:val="1"/>
      <w:marLeft w:val="0"/>
      <w:marRight w:val="0"/>
      <w:marTop w:val="0"/>
      <w:marBottom w:val="0"/>
      <w:divBdr>
        <w:top w:val="none" w:sz="0" w:space="0" w:color="auto"/>
        <w:left w:val="none" w:sz="0" w:space="0" w:color="auto"/>
        <w:bottom w:val="none" w:sz="0" w:space="0" w:color="auto"/>
        <w:right w:val="none" w:sz="0" w:space="0" w:color="auto"/>
      </w:divBdr>
    </w:div>
    <w:div w:id="951672391">
      <w:bodyDiv w:val="1"/>
      <w:marLeft w:val="0"/>
      <w:marRight w:val="0"/>
      <w:marTop w:val="0"/>
      <w:marBottom w:val="0"/>
      <w:divBdr>
        <w:top w:val="none" w:sz="0" w:space="0" w:color="auto"/>
        <w:left w:val="none" w:sz="0" w:space="0" w:color="auto"/>
        <w:bottom w:val="none" w:sz="0" w:space="0" w:color="auto"/>
        <w:right w:val="none" w:sz="0" w:space="0" w:color="auto"/>
      </w:divBdr>
    </w:div>
    <w:div w:id="1010836000">
      <w:bodyDiv w:val="1"/>
      <w:marLeft w:val="0"/>
      <w:marRight w:val="0"/>
      <w:marTop w:val="0"/>
      <w:marBottom w:val="0"/>
      <w:divBdr>
        <w:top w:val="none" w:sz="0" w:space="0" w:color="auto"/>
        <w:left w:val="none" w:sz="0" w:space="0" w:color="auto"/>
        <w:bottom w:val="none" w:sz="0" w:space="0" w:color="auto"/>
        <w:right w:val="none" w:sz="0" w:space="0" w:color="auto"/>
      </w:divBdr>
    </w:div>
    <w:div w:id="1113398616">
      <w:bodyDiv w:val="1"/>
      <w:marLeft w:val="0"/>
      <w:marRight w:val="0"/>
      <w:marTop w:val="0"/>
      <w:marBottom w:val="0"/>
      <w:divBdr>
        <w:top w:val="none" w:sz="0" w:space="0" w:color="auto"/>
        <w:left w:val="none" w:sz="0" w:space="0" w:color="auto"/>
        <w:bottom w:val="none" w:sz="0" w:space="0" w:color="auto"/>
        <w:right w:val="none" w:sz="0" w:space="0" w:color="auto"/>
      </w:divBdr>
    </w:div>
    <w:div w:id="1132790378">
      <w:bodyDiv w:val="1"/>
      <w:marLeft w:val="0"/>
      <w:marRight w:val="0"/>
      <w:marTop w:val="0"/>
      <w:marBottom w:val="0"/>
      <w:divBdr>
        <w:top w:val="none" w:sz="0" w:space="0" w:color="auto"/>
        <w:left w:val="none" w:sz="0" w:space="0" w:color="auto"/>
        <w:bottom w:val="none" w:sz="0" w:space="0" w:color="auto"/>
        <w:right w:val="none" w:sz="0" w:space="0" w:color="auto"/>
      </w:divBdr>
    </w:div>
    <w:div w:id="1183670315">
      <w:bodyDiv w:val="1"/>
      <w:marLeft w:val="0"/>
      <w:marRight w:val="0"/>
      <w:marTop w:val="0"/>
      <w:marBottom w:val="0"/>
      <w:divBdr>
        <w:top w:val="none" w:sz="0" w:space="0" w:color="auto"/>
        <w:left w:val="none" w:sz="0" w:space="0" w:color="auto"/>
        <w:bottom w:val="none" w:sz="0" w:space="0" w:color="auto"/>
        <w:right w:val="none" w:sz="0" w:space="0" w:color="auto"/>
      </w:divBdr>
    </w:div>
    <w:div w:id="1254781773">
      <w:bodyDiv w:val="1"/>
      <w:marLeft w:val="0"/>
      <w:marRight w:val="0"/>
      <w:marTop w:val="0"/>
      <w:marBottom w:val="0"/>
      <w:divBdr>
        <w:top w:val="none" w:sz="0" w:space="0" w:color="auto"/>
        <w:left w:val="none" w:sz="0" w:space="0" w:color="auto"/>
        <w:bottom w:val="none" w:sz="0" w:space="0" w:color="auto"/>
        <w:right w:val="none" w:sz="0" w:space="0" w:color="auto"/>
      </w:divBdr>
    </w:div>
    <w:div w:id="1299728953">
      <w:bodyDiv w:val="1"/>
      <w:marLeft w:val="0"/>
      <w:marRight w:val="0"/>
      <w:marTop w:val="0"/>
      <w:marBottom w:val="0"/>
      <w:divBdr>
        <w:top w:val="none" w:sz="0" w:space="0" w:color="auto"/>
        <w:left w:val="none" w:sz="0" w:space="0" w:color="auto"/>
        <w:bottom w:val="none" w:sz="0" w:space="0" w:color="auto"/>
        <w:right w:val="none" w:sz="0" w:space="0" w:color="auto"/>
      </w:divBdr>
    </w:div>
    <w:div w:id="1367828023">
      <w:bodyDiv w:val="1"/>
      <w:marLeft w:val="0"/>
      <w:marRight w:val="0"/>
      <w:marTop w:val="0"/>
      <w:marBottom w:val="0"/>
      <w:divBdr>
        <w:top w:val="none" w:sz="0" w:space="0" w:color="auto"/>
        <w:left w:val="none" w:sz="0" w:space="0" w:color="auto"/>
        <w:bottom w:val="none" w:sz="0" w:space="0" w:color="auto"/>
        <w:right w:val="none" w:sz="0" w:space="0" w:color="auto"/>
      </w:divBdr>
    </w:div>
    <w:div w:id="1435247385">
      <w:bodyDiv w:val="1"/>
      <w:marLeft w:val="0"/>
      <w:marRight w:val="0"/>
      <w:marTop w:val="0"/>
      <w:marBottom w:val="0"/>
      <w:divBdr>
        <w:top w:val="none" w:sz="0" w:space="0" w:color="auto"/>
        <w:left w:val="none" w:sz="0" w:space="0" w:color="auto"/>
        <w:bottom w:val="none" w:sz="0" w:space="0" w:color="auto"/>
        <w:right w:val="none" w:sz="0" w:space="0" w:color="auto"/>
      </w:divBdr>
    </w:div>
    <w:div w:id="1511873428">
      <w:bodyDiv w:val="1"/>
      <w:marLeft w:val="0"/>
      <w:marRight w:val="0"/>
      <w:marTop w:val="0"/>
      <w:marBottom w:val="0"/>
      <w:divBdr>
        <w:top w:val="none" w:sz="0" w:space="0" w:color="auto"/>
        <w:left w:val="none" w:sz="0" w:space="0" w:color="auto"/>
        <w:bottom w:val="none" w:sz="0" w:space="0" w:color="auto"/>
        <w:right w:val="none" w:sz="0" w:space="0" w:color="auto"/>
      </w:divBdr>
    </w:div>
    <w:div w:id="1904756447">
      <w:bodyDiv w:val="1"/>
      <w:marLeft w:val="0"/>
      <w:marRight w:val="0"/>
      <w:marTop w:val="0"/>
      <w:marBottom w:val="0"/>
      <w:divBdr>
        <w:top w:val="none" w:sz="0" w:space="0" w:color="auto"/>
        <w:left w:val="none" w:sz="0" w:space="0" w:color="auto"/>
        <w:bottom w:val="none" w:sz="0" w:space="0" w:color="auto"/>
        <w:right w:val="none" w:sz="0" w:space="0" w:color="auto"/>
      </w:divBdr>
    </w:div>
    <w:div w:id="1938513952">
      <w:bodyDiv w:val="1"/>
      <w:marLeft w:val="0"/>
      <w:marRight w:val="0"/>
      <w:marTop w:val="0"/>
      <w:marBottom w:val="0"/>
      <w:divBdr>
        <w:top w:val="none" w:sz="0" w:space="0" w:color="auto"/>
        <w:left w:val="none" w:sz="0" w:space="0" w:color="auto"/>
        <w:bottom w:val="none" w:sz="0" w:space="0" w:color="auto"/>
        <w:right w:val="none" w:sz="0" w:space="0" w:color="auto"/>
      </w:divBdr>
    </w:div>
    <w:div w:id="1978411980">
      <w:bodyDiv w:val="1"/>
      <w:marLeft w:val="0"/>
      <w:marRight w:val="0"/>
      <w:marTop w:val="0"/>
      <w:marBottom w:val="0"/>
      <w:divBdr>
        <w:top w:val="none" w:sz="0" w:space="0" w:color="auto"/>
        <w:left w:val="none" w:sz="0" w:space="0" w:color="auto"/>
        <w:bottom w:val="none" w:sz="0" w:space="0" w:color="auto"/>
        <w:right w:val="none" w:sz="0" w:space="0" w:color="auto"/>
      </w:divBdr>
    </w:div>
    <w:div w:id="2049527288">
      <w:bodyDiv w:val="1"/>
      <w:marLeft w:val="0"/>
      <w:marRight w:val="0"/>
      <w:marTop w:val="0"/>
      <w:marBottom w:val="0"/>
      <w:divBdr>
        <w:top w:val="none" w:sz="0" w:space="0" w:color="auto"/>
        <w:left w:val="none" w:sz="0" w:space="0" w:color="auto"/>
        <w:bottom w:val="none" w:sz="0" w:space="0" w:color="auto"/>
        <w:right w:val="none" w:sz="0" w:space="0" w:color="auto"/>
      </w:divBdr>
    </w:div>
    <w:div w:id="21293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3541</Words>
  <Characters>20503</Characters>
  <Application>Microsoft Office Word</Application>
  <DocSecurity>0</DocSecurity>
  <Lines>418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MIFTAHURROHMAH FITRIANI</dc:creator>
  <cp:keywords/>
  <dc:description/>
  <cp:lastModifiedBy>Hayyu Valsa</cp:lastModifiedBy>
  <cp:revision>22</cp:revision>
  <dcterms:created xsi:type="dcterms:W3CDTF">2025-04-22T07:10:00Z</dcterms:created>
  <dcterms:modified xsi:type="dcterms:W3CDTF">2025-05-05T10:31:00Z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72ff8024-0e11-4985-85b6-7d38a4d5fc19</vt:lpwstr>
  </property>
</Properties>
</file>