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D704E7" w14:textId="3A22978F" w:rsidR="00082341" w:rsidRDefault="0078319D" w:rsidP="00307423">
      <w:pPr>
        <w:pStyle w:val="PaperTitle"/>
        <w:spacing w:after="0"/>
        <w:rPr>
          <w:rStyle w:val="SubtleReference"/>
          <w:rFonts w:ascii="Times New Roman" w:hAnsi="Times New Roman"/>
          <w:color w:val="000000" w:themeColor="text1"/>
          <w:sz w:val="24"/>
          <w:szCs w:val="22"/>
        </w:rPr>
      </w:pPr>
      <w:r>
        <w:rPr>
          <w:rFonts w:ascii="Times New Roman" w:hAnsi="Times New Roman"/>
          <w:smallCaps/>
          <w:noProof/>
          <w:color w:val="000000" w:themeColor="text1"/>
          <w:sz w:val="24"/>
          <w:szCs w:val="22"/>
          <w:lang w:val="en-US" w:eastAsia="en-US"/>
        </w:rPr>
        <w:drawing>
          <wp:inline distT="0" distB="0" distL="0" distR="0" wp14:anchorId="6382FB87" wp14:editId="754A1252">
            <wp:extent cx="5759038" cy="10452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meHeaderTitleImage_en_US.png"/>
                    <pic:cNvPicPr/>
                  </pic:nvPicPr>
                  <pic:blipFill>
                    <a:blip r:embed="rId8">
                      <a:extLst>
                        <a:ext uri="{28A0092B-C50C-407E-A947-70E740481C1C}">
                          <a14:useLocalDpi xmlns:a14="http://schemas.microsoft.com/office/drawing/2010/main" val="0"/>
                        </a:ext>
                      </a:extLst>
                    </a:blip>
                    <a:stretch>
                      <a:fillRect/>
                    </a:stretch>
                  </pic:blipFill>
                  <pic:spPr>
                    <a:xfrm>
                      <a:off x="0" y="0"/>
                      <a:ext cx="5759038" cy="1045210"/>
                    </a:xfrm>
                    <a:prstGeom prst="rect">
                      <a:avLst/>
                    </a:prstGeom>
                  </pic:spPr>
                </pic:pic>
              </a:graphicData>
            </a:graphic>
          </wp:inline>
        </w:drawing>
      </w:r>
    </w:p>
    <w:p w14:paraId="30F21FDA" w14:textId="77777777" w:rsidR="005B34A2" w:rsidRDefault="005B34A2" w:rsidP="005B34A2">
      <w:pPr>
        <w:pStyle w:val="NoSpacing"/>
        <w:jc w:val="center"/>
        <w:rPr>
          <w:rStyle w:val="Emphasis"/>
        </w:rPr>
      </w:pPr>
    </w:p>
    <w:p w14:paraId="5C1D2376" w14:textId="5E487226" w:rsidR="0078319D" w:rsidRPr="005B34A2" w:rsidRDefault="005B34A2" w:rsidP="005B34A2">
      <w:pPr>
        <w:pStyle w:val="NoSpacing"/>
        <w:jc w:val="center"/>
        <w:rPr>
          <w:rStyle w:val="Emphasis"/>
        </w:rPr>
      </w:pPr>
      <w:r w:rsidRPr="005B34A2">
        <w:rPr>
          <w:rStyle w:val="Emphasis"/>
        </w:rPr>
        <w:t>Volume 1</w:t>
      </w:r>
      <w:r w:rsidR="0043564D">
        <w:rPr>
          <w:rStyle w:val="Emphasis"/>
        </w:rPr>
        <w:t>8</w:t>
      </w:r>
      <w:r w:rsidRPr="005B34A2">
        <w:rPr>
          <w:rStyle w:val="Emphasis"/>
        </w:rPr>
        <w:t xml:space="preserve"> </w:t>
      </w:r>
      <w:r>
        <w:rPr>
          <w:rStyle w:val="Emphasis"/>
        </w:rPr>
        <w:t>Issue 2</w:t>
      </w:r>
      <w:r w:rsidRPr="005B34A2">
        <w:rPr>
          <w:rStyle w:val="Emphasis"/>
        </w:rPr>
        <w:t xml:space="preserve"> October 20</w:t>
      </w:r>
      <w:r w:rsidR="0043564D">
        <w:rPr>
          <w:rStyle w:val="Emphasis"/>
        </w:rPr>
        <w:t>20</w:t>
      </w:r>
      <w:r w:rsidRPr="005B34A2">
        <w:rPr>
          <w:rStyle w:val="Emphasis"/>
        </w:rPr>
        <w:t>, pages:</w:t>
      </w:r>
    </w:p>
    <w:p w14:paraId="68378E31" w14:textId="77777777" w:rsidR="005B34A2" w:rsidRPr="00082341" w:rsidRDefault="005B34A2" w:rsidP="00307423">
      <w:pPr>
        <w:pStyle w:val="PaperTitle"/>
        <w:spacing w:after="0"/>
        <w:rPr>
          <w:rStyle w:val="SubtleReference"/>
          <w:rFonts w:ascii="Times New Roman" w:hAnsi="Times New Roman"/>
          <w:color w:val="000000" w:themeColor="text1"/>
          <w:sz w:val="24"/>
          <w:szCs w:val="22"/>
        </w:rPr>
      </w:pPr>
    </w:p>
    <w:p w14:paraId="72983F61" w14:textId="34CB5742" w:rsidR="006C386A" w:rsidRPr="00AA1314" w:rsidRDefault="00AA1314" w:rsidP="00AA1314">
      <w:pPr>
        <w:pStyle w:val="PaperTitle"/>
        <w:spacing w:after="0"/>
        <w:rPr>
          <w:rStyle w:val="SubtleReference"/>
          <w:rFonts w:ascii="Times New Roman" w:hAnsi="Times New Roman"/>
          <w:smallCaps w:val="0"/>
          <w:color w:val="auto"/>
          <w:sz w:val="32"/>
          <w:szCs w:val="28"/>
        </w:rPr>
      </w:pPr>
      <w:proofErr w:type="spellStart"/>
      <w:r>
        <w:rPr>
          <w:rStyle w:val="Strong"/>
          <w:rFonts w:ascii="Times New Roman" w:hAnsi="Times New Roman"/>
          <w:b/>
          <w:bCs w:val="0"/>
          <w:sz w:val="32"/>
          <w:szCs w:val="28"/>
        </w:rPr>
        <w:t>Identifikasi</w:t>
      </w:r>
      <w:proofErr w:type="spellEnd"/>
      <w:r>
        <w:rPr>
          <w:rStyle w:val="Strong"/>
          <w:rFonts w:ascii="Times New Roman" w:hAnsi="Times New Roman"/>
          <w:b/>
          <w:bCs w:val="0"/>
          <w:sz w:val="32"/>
          <w:szCs w:val="28"/>
        </w:rPr>
        <w:t xml:space="preserve"> </w:t>
      </w:r>
      <w:proofErr w:type="spellStart"/>
      <w:r>
        <w:rPr>
          <w:rStyle w:val="Strong"/>
          <w:rFonts w:ascii="Times New Roman" w:hAnsi="Times New Roman"/>
          <w:b/>
          <w:bCs w:val="0"/>
          <w:sz w:val="32"/>
          <w:szCs w:val="28"/>
        </w:rPr>
        <w:t>Ruang</w:t>
      </w:r>
      <w:proofErr w:type="spellEnd"/>
      <w:r>
        <w:rPr>
          <w:rStyle w:val="Strong"/>
          <w:rFonts w:ascii="Times New Roman" w:hAnsi="Times New Roman"/>
          <w:b/>
          <w:bCs w:val="0"/>
          <w:sz w:val="32"/>
          <w:szCs w:val="28"/>
        </w:rPr>
        <w:t xml:space="preserve"> </w:t>
      </w:r>
      <w:proofErr w:type="spellStart"/>
      <w:r>
        <w:rPr>
          <w:rStyle w:val="Strong"/>
          <w:rFonts w:ascii="Times New Roman" w:hAnsi="Times New Roman"/>
          <w:b/>
          <w:bCs w:val="0"/>
          <w:sz w:val="32"/>
          <w:szCs w:val="28"/>
        </w:rPr>
        <w:t>Manuver</w:t>
      </w:r>
      <w:proofErr w:type="spellEnd"/>
      <w:r>
        <w:rPr>
          <w:rStyle w:val="Strong"/>
          <w:rFonts w:ascii="Times New Roman" w:hAnsi="Times New Roman"/>
          <w:b/>
          <w:bCs w:val="0"/>
          <w:sz w:val="32"/>
          <w:szCs w:val="28"/>
        </w:rPr>
        <w:t xml:space="preserve"> </w:t>
      </w:r>
      <w:proofErr w:type="spellStart"/>
      <w:r>
        <w:rPr>
          <w:rStyle w:val="Strong"/>
          <w:rFonts w:ascii="Times New Roman" w:hAnsi="Times New Roman"/>
          <w:b/>
          <w:bCs w:val="0"/>
          <w:sz w:val="32"/>
          <w:szCs w:val="28"/>
        </w:rPr>
        <w:t>Menuju</w:t>
      </w:r>
      <w:proofErr w:type="spellEnd"/>
      <w:r>
        <w:rPr>
          <w:rStyle w:val="Strong"/>
          <w:rFonts w:ascii="Times New Roman" w:hAnsi="Times New Roman"/>
          <w:b/>
          <w:bCs w:val="0"/>
          <w:sz w:val="32"/>
          <w:szCs w:val="28"/>
        </w:rPr>
        <w:t xml:space="preserve"> </w:t>
      </w:r>
      <w:proofErr w:type="spellStart"/>
      <w:r>
        <w:rPr>
          <w:rStyle w:val="Strong"/>
          <w:rFonts w:ascii="Times New Roman" w:hAnsi="Times New Roman"/>
          <w:b/>
          <w:bCs w:val="0"/>
          <w:sz w:val="32"/>
          <w:szCs w:val="28"/>
        </w:rPr>
        <w:t>Resiliensi</w:t>
      </w:r>
      <w:proofErr w:type="spellEnd"/>
      <w:r>
        <w:rPr>
          <w:rStyle w:val="Strong"/>
          <w:rFonts w:ascii="Times New Roman" w:hAnsi="Times New Roman"/>
          <w:b/>
          <w:bCs w:val="0"/>
          <w:sz w:val="32"/>
          <w:szCs w:val="28"/>
        </w:rPr>
        <w:t xml:space="preserve"> </w:t>
      </w:r>
      <w:proofErr w:type="spellStart"/>
      <w:r>
        <w:rPr>
          <w:rStyle w:val="Strong"/>
          <w:rFonts w:ascii="Times New Roman" w:hAnsi="Times New Roman"/>
          <w:b/>
          <w:bCs w:val="0"/>
          <w:sz w:val="32"/>
          <w:szCs w:val="28"/>
        </w:rPr>
        <w:t>Komunitas</w:t>
      </w:r>
      <w:proofErr w:type="spellEnd"/>
      <w:r>
        <w:rPr>
          <w:rStyle w:val="Strong"/>
          <w:rFonts w:ascii="Times New Roman" w:hAnsi="Times New Roman"/>
          <w:b/>
          <w:bCs w:val="0"/>
          <w:sz w:val="32"/>
          <w:szCs w:val="28"/>
        </w:rPr>
        <w:t xml:space="preserve"> di Masa </w:t>
      </w:r>
      <w:proofErr w:type="spellStart"/>
      <w:r>
        <w:rPr>
          <w:rStyle w:val="Strong"/>
          <w:rFonts w:ascii="Times New Roman" w:hAnsi="Times New Roman"/>
          <w:b/>
          <w:bCs w:val="0"/>
          <w:sz w:val="32"/>
          <w:szCs w:val="28"/>
        </w:rPr>
        <w:t>Pandemi</w:t>
      </w:r>
      <w:proofErr w:type="spellEnd"/>
      <w:r>
        <w:rPr>
          <w:rStyle w:val="Strong"/>
          <w:rFonts w:ascii="Times New Roman" w:hAnsi="Times New Roman"/>
          <w:b/>
          <w:bCs w:val="0"/>
          <w:sz w:val="32"/>
          <w:szCs w:val="28"/>
        </w:rPr>
        <w:t xml:space="preserve"> Covid-19</w:t>
      </w:r>
    </w:p>
    <w:p w14:paraId="1FB22FC2" w14:textId="77777777" w:rsidR="00E812EE" w:rsidRPr="005C663D" w:rsidRDefault="00E812EE" w:rsidP="006C386A">
      <w:pPr>
        <w:pStyle w:val="PaperTitle"/>
        <w:spacing w:after="0"/>
        <w:rPr>
          <w:rStyle w:val="SubtleReference"/>
          <w:rFonts w:ascii="Times New Roman" w:hAnsi="Times New Roman"/>
          <w:color w:val="FF0000"/>
          <w:sz w:val="24"/>
        </w:rPr>
      </w:pPr>
    </w:p>
    <w:p w14:paraId="26A0B656" w14:textId="77777777" w:rsidR="00AA1314" w:rsidRDefault="00AA1314" w:rsidP="00E812EE">
      <w:pPr>
        <w:pStyle w:val="PaperTitle"/>
        <w:spacing w:after="0"/>
        <w:rPr>
          <w:rStyle w:val="Strong"/>
          <w:rFonts w:ascii="Times New Roman" w:hAnsi="Times New Roman"/>
          <w:b/>
          <w:bCs w:val="0"/>
          <w:i/>
          <w:iCs/>
          <w:sz w:val="32"/>
          <w:szCs w:val="28"/>
        </w:rPr>
      </w:pPr>
      <w:r w:rsidRPr="00AA1314">
        <w:rPr>
          <w:rStyle w:val="Strong"/>
          <w:rFonts w:ascii="Times New Roman" w:hAnsi="Times New Roman"/>
          <w:b/>
          <w:bCs w:val="0"/>
          <w:i/>
          <w:iCs/>
          <w:sz w:val="32"/>
          <w:szCs w:val="28"/>
        </w:rPr>
        <w:t xml:space="preserve">Identifying Room for </w:t>
      </w:r>
      <w:proofErr w:type="spellStart"/>
      <w:r w:rsidRPr="00AA1314">
        <w:rPr>
          <w:rStyle w:val="Strong"/>
          <w:rFonts w:ascii="Times New Roman" w:hAnsi="Times New Roman"/>
          <w:b/>
          <w:bCs w:val="0"/>
          <w:i/>
          <w:iCs/>
          <w:sz w:val="32"/>
          <w:szCs w:val="28"/>
        </w:rPr>
        <w:t>Maneuver</w:t>
      </w:r>
      <w:proofErr w:type="spellEnd"/>
      <w:r w:rsidRPr="00AA1314">
        <w:rPr>
          <w:rStyle w:val="Strong"/>
          <w:rFonts w:ascii="Times New Roman" w:hAnsi="Times New Roman"/>
          <w:b/>
          <w:bCs w:val="0"/>
          <w:i/>
          <w:iCs/>
          <w:sz w:val="32"/>
          <w:szCs w:val="28"/>
        </w:rPr>
        <w:t xml:space="preserve"> towards Community Resilience during the COVID-19 Pandemic </w:t>
      </w:r>
    </w:p>
    <w:p w14:paraId="55C46F23" w14:textId="77777777" w:rsidR="006C386A" w:rsidRPr="003720B8" w:rsidRDefault="006C386A" w:rsidP="002715B6">
      <w:pPr>
        <w:jc w:val="center"/>
        <w:rPr>
          <w:b/>
          <w:smallCaps/>
          <w:sz w:val="28"/>
          <w:szCs w:val="28"/>
        </w:rPr>
      </w:pPr>
    </w:p>
    <w:p w14:paraId="6BE87824" w14:textId="0CEBD60D" w:rsidR="003720B8" w:rsidRPr="003B3AE5" w:rsidRDefault="00AA1314" w:rsidP="003720B8">
      <w:pPr>
        <w:pStyle w:val="Authors"/>
        <w:rPr>
          <w:rFonts w:ascii="Times New Roman" w:hAnsi="Times New Roman"/>
          <w:color w:val="0000FF"/>
          <w:sz w:val="22"/>
          <w:szCs w:val="22"/>
        </w:rPr>
      </w:pPr>
      <w:r>
        <w:rPr>
          <w:rFonts w:ascii="Times New Roman" w:hAnsi="Times New Roman"/>
          <w:sz w:val="22"/>
          <w:szCs w:val="22"/>
        </w:rPr>
        <w:t xml:space="preserve">Muhammad </w:t>
      </w:r>
      <w:proofErr w:type="spellStart"/>
      <w:r>
        <w:rPr>
          <w:rFonts w:ascii="Times New Roman" w:hAnsi="Times New Roman"/>
          <w:sz w:val="22"/>
          <w:szCs w:val="22"/>
        </w:rPr>
        <w:t>Nelza</w:t>
      </w:r>
      <w:proofErr w:type="spellEnd"/>
      <w:r>
        <w:rPr>
          <w:rFonts w:ascii="Times New Roman" w:hAnsi="Times New Roman"/>
          <w:sz w:val="22"/>
          <w:szCs w:val="22"/>
        </w:rPr>
        <w:t xml:space="preserve"> </w:t>
      </w:r>
      <w:proofErr w:type="spellStart"/>
      <w:r>
        <w:rPr>
          <w:rFonts w:ascii="Times New Roman" w:hAnsi="Times New Roman"/>
          <w:sz w:val="22"/>
          <w:szCs w:val="22"/>
        </w:rPr>
        <w:t>Mulki</w:t>
      </w:r>
      <w:proofErr w:type="spellEnd"/>
      <w:r>
        <w:rPr>
          <w:rFonts w:ascii="Times New Roman" w:hAnsi="Times New Roman"/>
          <w:sz w:val="22"/>
          <w:szCs w:val="22"/>
        </w:rPr>
        <w:t xml:space="preserve"> Iqbal</w:t>
      </w:r>
      <w:r w:rsidR="003720B8" w:rsidRPr="00BB4D45">
        <w:rPr>
          <w:rFonts w:ascii="Times New Roman" w:hAnsi="Times New Roman"/>
          <w:sz w:val="22"/>
          <w:szCs w:val="22"/>
          <w:vertAlign w:val="superscript"/>
        </w:rPr>
        <w:t>1</w:t>
      </w:r>
      <w:r w:rsidR="003720B8" w:rsidRPr="00BB4D45">
        <w:rPr>
          <w:rFonts w:ascii="Times New Roman" w:hAnsi="Times New Roman"/>
          <w:sz w:val="22"/>
          <w:szCs w:val="22"/>
        </w:rPr>
        <w:t xml:space="preserve">*, </w:t>
      </w:r>
      <w:proofErr w:type="spellStart"/>
      <w:r>
        <w:rPr>
          <w:rFonts w:ascii="Times New Roman" w:hAnsi="Times New Roman"/>
          <w:sz w:val="22"/>
          <w:szCs w:val="22"/>
        </w:rPr>
        <w:t>Bayu</w:t>
      </w:r>
      <w:proofErr w:type="spellEnd"/>
      <w:r>
        <w:rPr>
          <w:rFonts w:ascii="Times New Roman" w:hAnsi="Times New Roman"/>
          <w:sz w:val="22"/>
          <w:szCs w:val="22"/>
        </w:rPr>
        <w:t xml:space="preserve"> </w:t>
      </w:r>
      <w:proofErr w:type="spellStart"/>
      <w:r>
        <w:rPr>
          <w:rFonts w:ascii="Times New Roman" w:hAnsi="Times New Roman"/>
          <w:sz w:val="22"/>
          <w:szCs w:val="22"/>
        </w:rPr>
        <w:t>Teguh</w:t>
      </w:r>
      <w:proofErr w:type="spellEnd"/>
      <w:r>
        <w:rPr>
          <w:rFonts w:ascii="Times New Roman" w:hAnsi="Times New Roman"/>
          <w:sz w:val="22"/>
          <w:szCs w:val="22"/>
        </w:rPr>
        <w:t xml:space="preserve"> Ujianto</w:t>
      </w:r>
      <w:r w:rsidR="003720B8" w:rsidRPr="00BB4D45">
        <w:rPr>
          <w:rFonts w:ascii="Times New Roman" w:hAnsi="Times New Roman"/>
          <w:sz w:val="22"/>
          <w:szCs w:val="22"/>
          <w:vertAlign w:val="superscript"/>
        </w:rPr>
        <w:t>2</w:t>
      </w:r>
      <w:r w:rsidR="003720B8" w:rsidRPr="00BB4D45">
        <w:rPr>
          <w:rFonts w:ascii="Times New Roman" w:hAnsi="Times New Roman"/>
          <w:sz w:val="22"/>
          <w:szCs w:val="22"/>
        </w:rPr>
        <w:t xml:space="preserve"> </w:t>
      </w:r>
    </w:p>
    <w:p w14:paraId="5055E288" w14:textId="6B356A35" w:rsidR="003720B8" w:rsidRPr="00BB4D45" w:rsidRDefault="00AA1314" w:rsidP="00742865">
      <w:pPr>
        <w:pStyle w:val="AuthorsAffiliations"/>
        <w:rPr>
          <w:rFonts w:ascii="Times New Roman" w:hAnsi="Times New Roman"/>
          <w:i w:val="0"/>
          <w:sz w:val="20"/>
          <w:szCs w:val="20"/>
        </w:rPr>
      </w:pPr>
      <w:r>
        <w:rPr>
          <w:rFonts w:ascii="Times New Roman" w:hAnsi="Times New Roman"/>
          <w:i w:val="0"/>
          <w:sz w:val="20"/>
          <w:szCs w:val="20"/>
        </w:rPr>
        <w:t xml:space="preserve">Architecture Department, Faculty of Engineering and Civil Planning, </w:t>
      </w:r>
      <w:proofErr w:type="spellStart"/>
      <w:r>
        <w:rPr>
          <w:rFonts w:ascii="Times New Roman" w:hAnsi="Times New Roman"/>
          <w:i w:val="0"/>
          <w:sz w:val="20"/>
          <w:szCs w:val="20"/>
        </w:rPr>
        <w:t>Institut</w:t>
      </w:r>
      <w:proofErr w:type="spellEnd"/>
      <w:r>
        <w:rPr>
          <w:rFonts w:ascii="Times New Roman" w:hAnsi="Times New Roman"/>
          <w:i w:val="0"/>
          <w:sz w:val="20"/>
          <w:szCs w:val="20"/>
        </w:rPr>
        <w:t xml:space="preserve"> </w:t>
      </w:r>
      <w:proofErr w:type="spellStart"/>
      <w:r>
        <w:rPr>
          <w:rFonts w:ascii="Times New Roman" w:hAnsi="Times New Roman"/>
          <w:i w:val="0"/>
          <w:sz w:val="20"/>
          <w:szCs w:val="20"/>
        </w:rPr>
        <w:t>Teknologi</w:t>
      </w:r>
      <w:proofErr w:type="spellEnd"/>
      <w:r>
        <w:rPr>
          <w:rFonts w:ascii="Times New Roman" w:hAnsi="Times New Roman"/>
          <w:i w:val="0"/>
          <w:sz w:val="20"/>
          <w:szCs w:val="20"/>
        </w:rPr>
        <w:t xml:space="preserve"> </w:t>
      </w:r>
      <w:proofErr w:type="spellStart"/>
      <w:r>
        <w:rPr>
          <w:rFonts w:ascii="Times New Roman" w:hAnsi="Times New Roman"/>
          <w:i w:val="0"/>
          <w:sz w:val="20"/>
          <w:szCs w:val="20"/>
        </w:rPr>
        <w:t>Nasional</w:t>
      </w:r>
      <w:proofErr w:type="spellEnd"/>
      <w:r>
        <w:rPr>
          <w:rFonts w:ascii="Times New Roman" w:hAnsi="Times New Roman"/>
          <w:i w:val="0"/>
          <w:sz w:val="20"/>
          <w:szCs w:val="20"/>
        </w:rPr>
        <w:t xml:space="preserve"> Malang </w:t>
      </w:r>
      <w:r w:rsidR="003720B8" w:rsidRPr="00BB4D45">
        <w:rPr>
          <w:rFonts w:ascii="Times New Roman" w:hAnsi="Times New Roman"/>
          <w:i w:val="0"/>
          <w:sz w:val="20"/>
          <w:szCs w:val="20"/>
          <w:vertAlign w:val="superscript"/>
        </w:rPr>
        <w:t>1</w:t>
      </w:r>
      <w:r>
        <w:rPr>
          <w:rFonts w:ascii="Times New Roman" w:hAnsi="Times New Roman"/>
          <w:i w:val="0"/>
          <w:sz w:val="20"/>
          <w:szCs w:val="20"/>
          <w:vertAlign w:val="superscript"/>
        </w:rPr>
        <w:t>,2</w:t>
      </w:r>
    </w:p>
    <w:p w14:paraId="474AA20A" w14:textId="1AA353F8" w:rsidR="00AA1314" w:rsidRPr="00AA1314" w:rsidRDefault="00AA1314" w:rsidP="00AA1314">
      <w:pPr>
        <w:pStyle w:val="AuthorsAffiliations"/>
        <w:rPr>
          <w:rFonts w:ascii="Times New Roman" w:hAnsi="Times New Roman"/>
          <w:i w:val="0"/>
          <w:sz w:val="20"/>
          <w:szCs w:val="20"/>
        </w:rPr>
      </w:pPr>
      <w:r>
        <w:rPr>
          <w:rFonts w:ascii="Times New Roman" w:hAnsi="Times New Roman"/>
          <w:i w:val="0"/>
          <w:sz w:val="20"/>
          <w:szCs w:val="20"/>
        </w:rPr>
        <w:t>nelzamiqbal@lecturer.itn.ac.id</w:t>
      </w:r>
    </w:p>
    <w:p w14:paraId="689191BE" w14:textId="77777777" w:rsidR="00AC1F5E" w:rsidRPr="003720B8" w:rsidRDefault="00AC1F5E" w:rsidP="002A2E9F">
      <w:pPr>
        <w:pStyle w:val="Footer"/>
        <w:keepNext w:val="0"/>
        <w:tabs>
          <w:tab w:val="clear" w:pos="4320"/>
          <w:tab w:val="clear" w:pos="8640"/>
        </w:tabs>
        <w:suppressAutoHyphens w:val="0"/>
        <w:overflowPunct/>
        <w:autoSpaceDE/>
        <w:autoSpaceDN/>
        <w:adjustRightInd/>
        <w:spacing w:line="240" w:lineRule="auto"/>
        <w:jc w:val="center"/>
        <w:textAlignment w:val="auto"/>
        <w:rPr>
          <w:bCs/>
          <w:smallCaps/>
          <w:sz w:val="20"/>
          <w:lang w:val="en-GB"/>
        </w:rPr>
      </w:pPr>
    </w:p>
    <w:p w14:paraId="5D964486" w14:textId="77777777" w:rsidR="007622FF" w:rsidRDefault="007622FF" w:rsidP="007622FF">
      <w:pPr>
        <w:pStyle w:val="Keywords"/>
        <w:ind w:right="424"/>
        <w:rPr>
          <w:rFonts w:ascii="Times New Roman" w:hAnsi="Times New Roman"/>
        </w:rPr>
      </w:pPr>
    </w:p>
    <w:p w14:paraId="5997CF19" w14:textId="77777777" w:rsidR="007622FF" w:rsidRPr="007622FF" w:rsidRDefault="007622FF" w:rsidP="004045DF">
      <w:pPr>
        <w:pStyle w:val="Keywords"/>
        <w:ind w:left="0" w:right="424" w:firstLine="567"/>
        <w:rPr>
          <w:rFonts w:ascii="Times New Roman" w:hAnsi="Times New Roman"/>
          <w:szCs w:val="18"/>
        </w:rPr>
      </w:pPr>
      <w:r w:rsidRPr="007622FF">
        <w:rPr>
          <w:rFonts w:ascii="Times New Roman" w:hAnsi="Times New Roman"/>
          <w:szCs w:val="18"/>
        </w:rPr>
        <w:t>DOI:</w:t>
      </w:r>
    </w:p>
    <w:p w14:paraId="2FF0DF8E" w14:textId="77777777" w:rsidR="007622FF" w:rsidRPr="007622FF" w:rsidRDefault="007622FF" w:rsidP="004045DF">
      <w:pPr>
        <w:pStyle w:val="Keywords"/>
        <w:ind w:left="0" w:right="424" w:firstLine="567"/>
        <w:rPr>
          <w:rFonts w:ascii="Times New Roman" w:hAnsi="Times New Roman"/>
          <w:bCs/>
          <w:iCs/>
          <w:color w:val="FF0000"/>
          <w:szCs w:val="18"/>
        </w:rPr>
      </w:pPr>
      <w:r w:rsidRPr="007622FF">
        <w:rPr>
          <w:rFonts w:ascii="Times New Roman" w:hAnsi="Times New Roman"/>
          <w:i/>
          <w:noProof/>
          <w:szCs w:val="18"/>
        </w:rPr>
        <w:t>Received:</w:t>
      </w:r>
      <w:r w:rsidRPr="007622FF">
        <w:rPr>
          <w:rFonts w:ascii="Times New Roman" w:hAnsi="Times New Roman"/>
          <w:i/>
          <w:noProof/>
          <w:szCs w:val="18"/>
        </w:rPr>
        <w:tab/>
      </w:r>
      <w:r w:rsidRPr="007622FF">
        <w:rPr>
          <w:rFonts w:ascii="Times New Roman" w:hAnsi="Times New Roman"/>
          <w:i/>
          <w:noProof/>
          <w:szCs w:val="18"/>
        </w:rPr>
        <w:tab/>
      </w:r>
      <w:r w:rsidRPr="007622FF">
        <w:rPr>
          <w:rStyle w:val="Emphasis"/>
          <w:rFonts w:ascii="Times New Roman" w:hAnsi="Times New Roman"/>
          <w:iCs w:val="0"/>
          <w:szCs w:val="18"/>
        </w:rPr>
        <w:t>Revised</w:t>
      </w:r>
      <w:r w:rsidRPr="007622FF">
        <w:rPr>
          <w:rStyle w:val="Emphasis"/>
          <w:rFonts w:ascii="Times New Roman" w:hAnsi="Times New Roman"/>
          <w:iCs w:val="0"/>
          <w:szCs w:val="18"/>
        </w:rPr>
        <w:tab/>
      </w:r>
      <w:r w:rsidRPr="007622FF">
        <w:rPr>
          <w:rStyle w:val="Emphasis"/>
          <w:rFonts w:ascii="Times New Roman" w:hAnsi="Times New Roman"/>
          <w:iCs w:val="0"/>
          <w:szCs w:val="18"/>
        </w:rPr>
        <w:tab/>
        <w:t>Accepted:</w:t>
      </w:r>
      <w:r w:rsidRPr="007622FF">
        <w:rPr>
          <w:rStyle w:val="Emphasis"/>
          <w:rFonts w:ascii="Times New Roman" w:hAnsi="Times New Roman"/>
          <w:iCs w:val="0"/>
          <w:szCs w:val="18"/>
        </w:rPr>
        <w:tab/>
      </w:r>
      <w:r w:rsidRPr="007622FF">
        <w:rPr>
          <w:rStyle w:val="Emphasis"/>
          <w:rFonts w:ascii="Times New Roman" w:hAnsi="Times New Roman"/>
          <w:iCs w:val="0"/>
          <w:szCs w:val="18"/>
        </w:rPr>
        <w:tab/>
      </w:r>
      <w:r w:rsidRPr="007622FF">
        <w:rPr>
          <w:rFonts w:ascii="Times New Roman" w:hAnsi="Times New Roman"/>
          <w:i/>
          <w:noProof/>
          <w:szCs w:val="18"/>
        </w:rPr>
        <w:t>Available online:</w:t>
      </w:r>
    </w:p>
    <w:p w14:paraId="6E5BDA4C" w14:textId="77777777" w:rsidR="00F842AF" w:rsidRPr="001A2D79" w:rsidRDefault="0055025B" w:rsidP="006B28B0">
      <w:pPr>
        <w:rPr>
          <w:b/>
          <w:sz w:val="22"/>
          <w:szCs w:val="22"/>
        </w:rPr>
      </w:pPr>
      <w:r>
        <w:rPr>
          <w:b/>
          <w:noProof/>
          <w:sz w:val="22"/>
          <w:szCs w:val="22"/>
        </w:rPr>
        <mc:AlternateContent>
          <mc:Choice Requires="wps">
            <w:drawing>
              <wp:anchor distT="0" distB="0" distL="114300" distR="114300" simplePos="0" relativeHeight="251657216" behindDoc="0" locked="0" layoutInCell="1" allowOverlap="1" wp14:anchorId="32724635" wp14:editId="64FC3019">
                <wp:simplePos x="0" y="0"/>
                <wp:positionH relativeFrom="column">
                  <wp:posOffset>350559</wp:posOffset>
                </wp:positionH>
                <wp:positionV relativeFrom="paragraph">
                  <wp:posOffset>54555</wp:posOffset>
                </wp:positionV>
                <wp:extent cx="5161031" cy="0"/>
                <wp:effectExtent l="0" t="0" r="20955" b="19050"/>
                <wp:wrapNone/>
                <wp:docPr id="4" name="Line 2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10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3604663" id="Line 279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4.3pt" to="434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Vp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"/>
            </w:pict>
          </mc:Fallback>
        </mc:AlternateContent>
      </w:r>
    </w:p>
    <w:p w14:paraId="54D280FB" w14:textId="7D93BE19" w:rsidR="003720B8" w:rsidRPr="00BB4D45" w:rsidRDefault="003720B8" w:rsidP="0055025B">
      <w:pPr>
        <w:pStyle w:val="AbstractTitle"/>
        <w:ind w:right="424"/>
        <w:jc w:val="both"/>
        <w:rPr>
          <w:rFonts w:ascii="Times New Roman" w:hAnsi="Times New Roman"/>
          <w:i/>
          <w:sz w:val="20"/>
        </w:rPr>
      </w:pPr>
      <w:r w:rsidRPr="00BB4D45">
        <w:rPr>
          <w:rFonts w:ascii="Times New Roman" w:hAnsi="Times New Roman"/>
          <w:i/>
          <w:sz w:val="20"/>
        </w:rPr>
        <w:t>Abstract</w:t>
      </w:r>
    </w:p>
    <w:p w14:paraId="2AAB0243" w14:textId="790358E3" w:rsidR="003720B8" w:rsidRPr="00AA1314" w:rsidRDefault="00AA1314" w:rsidP="00AA1314">
      <w:pPr>
        <w:pStyle w:val="Abstract"/>
        <w:tabs>
          <w:tab w:val="left" w:pos="8222"/>
        </w:tabs>
        <w:ind w:right="424"/>
        <w:rPr>
          <w:rFonts w:ascii="Times New Roman" w:hAnsi="Times New Roman"/>
          <w:i/>
          <w:sz w:val="20"/>
          <w:szCs w:val="20"/>
        </w:rPr>
      </w:pPr>
      <w:r w:rsidRPr="00AA1314">
        <w:rPr>
          <w:rFonts w:ascii="Times New Roman" w:hAnsi="Times New Roman"/>
          <w:i/>
          <w:sz w:val="20"/>
          <w:szCs w:val="20"/>
        </w:rPr>
        <w:t>Since firstly announced as an infectious case in Indonesia in early 2020, the COVID-19 pandemic has significantly impacted to the economy, society, culture, education, and the environment. Although the government has moved with various stimuli, policies and continues to improve vaccination programs, there are still many things that</w:t>
      </w:r>
      <w:r w:rsidR="00D42481">
        <w:rPr>
          <w:rFonts w:ascii="Times New Roman" w:hAnsi="Times New Roman"/>
          <w:i/>
          <w:sz w:val="20"/>
          <w:szCs w:val="20"/>
        </w:rPr>
        <w:t xml:space="preserve"> ultimately force people, commu</w:t>
      </w:r>
      <w:r w:rsidRPr="00AA1314">
        <w:rPr>
          <w:rFonts w:ascii="Times New Roman" w:hAnsi="Times New Roman"/>
          <w:i/>
          <w:sz w:val="20"/>
          <w:szCs w:val="20"/>
        </w:rPr>
        <w:t>nities, and individuals to move independently as a form of resilience to this pandemic situation. Community Architects (ARKOM) and informal communities within this group network have worked for a long time in realizing inclusive, disaster-responsive, and participatory settlements. Through a participatory and bottom-up approach that places the comm</w:t>
      </w:r>
      <w:r w:rsidR="00D42481">
        <w:rPr>
          <w:rFonts w:ascii="Times New Roman" w:hAnsi="Times New Roman"/>
          <w:i/>
          <w:sz w:val="20"/>
          <w:szCs w:val="20"/>
        </w:rPr>
        <w:t>unity as the main subject of de</w:t>
      </w:r>
      <w:r w:rsidRPr="00AA1314">
        <w:rPr>
          <w:rFonts w:ascii="Times New Roman" w:hAnsi="Times New Roman"/>
          <w:i/>
          <w:sz w:val="20"/>
          <w:szCs w:val="20"/>
        </w:rPr>
        <w:t>velopment, ARKOM has succeeded in making a significant contribution to the growth of community resilience to disasters. However, the COVID-19 pandemic presents different challenges than previous disasters. As a new model of disaster, the COVID-19 presents a different challenge where the recovery process and the prevention of its impacts should go hand in hand. Therefore, seeing disaster as both a cha</w:t>
      </w:r>
      <w:r w:rsidR="00D42481">
        <w:rPr>
          <w:rFonts w:ascii="Times New Roman" w:hAnsi="Times New Roman"/>
          <w:i/>
          <w:sz w:val="20"/>
          <w:szCs w:val="20"/>
        </w:rPr>
        <w:t>llenge and an opportunity to de</w:t>
      </w:r>
      <w:r w:rsidRPr="00AA1314">
        <w:rPr>
          <w:rFonts w:ascii="Times New Roman" w:hAnsi="Times New Roman"/>
          <w:i/>
          <w:sz w:val="20"/>
          <w:szCs w:val="20"/>
        </w:rPr>
        <w:t>velop, this study aims to document the re</w:t>
      </w:r>
      <w:r w:rsidR="00D42481">
        <w:rPr>
          <w:rFonts w:ascii="Times New Roman" w:hAnsi="Times New Roman"/>
          <w:i/>
          <w:sz w:val="20"/>
          <w:szCs w:val="20"/>
        </w:rPr>
        <w:t>silience process shown by infor</w:t>
      </w:r>
      <w:r w:rsidRPr="00AA1314">
        <w:rPr>
          <w:rFonts w:ascii="Times New Roman" w:hAnsi="Times New Roman"/>
          <w:i/>
          <w:sz w:val="20"/>
          <w:szCs w:val="20"/>
        </w:rPr>
        <w:t xml:space="preserve">mal communities during the crisis moment of the COVID-19 </w:t>
      </w:r>
      <w:proofErr w:type="spellStart"/>
      <w:proofErr w:type="gramStart"/>
      <w:r w:rsidRPr="00AA1314">
        <w:rPr>
          <w:rFonts w:ascii="Times New Roman" w:hAnsi="Times New Roman"/>
          <w:i/>
          <w:sz w:val="20"/>
          <w:szCs w:val="20"/>
        </w:rPr>
        <w:t>pandemic.This</w:t>
      </w:r>
      <w:proofErr w:type="spellEnd"/>
      <w:proofErr w:type="gramEnd"/>
      <w:r w:rsidRPr="00AA1314">
        <w:rPr>
          <w:rFonts w:ascii="Times New Roman" w:hAnsi="Times New Roman"/>
          <w:i/>
          <w:sz w:val="20"/>
          <w:szCs w:val="20"/>
        </w:rPr>
        <w:t xml:space="preserve"> research takes the lens of room of </w:t>
      </w:r>
      <w:proofErr w:type="spellStart"/>
      <w:r w:rsidRPr="00AA1314">
        <w:rPr>
          <w:rFonts w:ascii="Times New Roman" w:hAnsi="Times New Roman"/>
          <w:i/>
          <w:sz w:val="20"/>
          <w:szCs w:val="20"/>
        </w:rPr>
        <w:t>maneuver</w:t>
      </w:r>
      <w:proofErr w:type="spellEnd"/>
      <w:r w:rsidRPr="00AA1314">
        <w:rPr>
          <w:rFonts w:ascii="Times New Roman" w:hAnsi="Times New Roman"/>
          <w:i/>
          <w:sz w:val="20"/>
          <w:szCs w:val="20"/>
        </w:rPr>
        <w:t xml:space="preserve"> that was initiated by </w:t>
      </w:r>
      <w:proofErr w:type="spellStart"/>
      <w:r w:rsidRPr="00AA1314">
        <w:rPr>
          <w:rFonts w:ascii="Times New Roman" w:hAnsi="Times New Roman"/>
          <w:i/>
          <w:sz w:val="20"/>
          <w:szCs w:val="20"/>
        </w:rPr>
        <w:t>Safier</w:t>
      </w:r>
      <w:proofErr w:type="spellEnd"/>
      <w:r w:rsidRPr="00AA1314">
        <w:rPr>
          <w:rFonts w:ascii="Times New Roman" w:hAnsi="Times New Roman"/>
          <w:i/>
          <w:sz w:val="20"/>
          <w:szCs w:val="20"/>
        </w:rPr>
        <w:t xml:space="preserve"> consisting of strategic, technical, o</w:t>
      </w:r>
      <w:r w:rsidR="00D42481">
        <w:rPr>
          <w:rFonts w:ascii="Times New Roman" w:hAnsi="Times New Roman"/>
          <w:i/>
          <w:sz w:val="20"/>
          <w:szCs w:val="20"/>
        </w:rPr>
        <w:t>rganizational, and social dimen</w:t>
      </w:r>
      <w:r w:rsidRPr="00AA1314">
        <w:rPr>
          <w:rFonts w:ascii="Times New Roman" w:hAnsi="Times New Roman"/>
          <w:i/>
          <w:sz w:val="20"/>
          <w:szCs w:val="20"/>
        </w:rPr>
        <w:t>sions based on the movement in the field generated by ARKOM and the communities within. The research method is based on data collection and analysis using snowball techniques thro</w:t>
      </w:r>
      <w:r w:rsidR="00C53065">
        <w:rPr>
          <w:rFonts w:ascii="Times New Roman" w:hAnsi="Times New Roman"/>
          <w:i/>
          <w:sz w:val="20"/>
          <w:szCs w:val="20"/>
        </w:rPr>
        <w:t>ugh in-depth interviews with re</w:t>
      </w:r>
      <w:r w:rsidRPr="00AA1314">
        <w:rPr>
          <w:rFonts w:ascii="Times New Roman" w:hAnsi="Times New Roman"/>
          <w:i/>
          <w:sz w:val="20"/>
          <w:szCs w:val="20"/>
        </w:rPr>
        <w:t xml:space="preserve">spondents involving the community and facilitators in the field. </w:t>
      </w:r>
    </w:p>
    <w:p w14:paraId="7D829F73" w14:textId="77777777" w:rsidR="003720B8" w:rsidRPr="00BB4D45" w:rsidRDefault="003720B8" w:rsidP="0055025B">
      <w:pPr>
        <w:pStyle w:val="Abstract"/>
        <w:ind w:right="424"/>
        <w:rPr>
          <w:i/>
          <w:sz w:val="20"/>
          <w:szCs w:val="20"/>
        </w:rPr>
      </w:pPr>
    </w:p>
    <w:p w14:paraId="172BFA30" w14:textId="72AAFD1C" w:rsidR="003720B8" w:rsidRDefault="003720B8" w:rsidP="0055025B">
      <w:pPr>
        <w:pStyle w:val="Keywords"/>
        <w:ind w:right="424"/>
        <w:rPr>
          <w:rFonts w:ascii="Times New Roman" w:hAnsi="Times New Roman"/>
          <w:iCs/>
          <w:color w:val="0000FF"/>
        </w:rPr>
      </w:pPr>
      <w:r w:rsidRPr="00BB4D45">
        <w:rPr>
          <w:rFonts w:ascii="Times New Roman" w:hAnsi="Times New Roman"/>
          <w:b/>
          <w:i/>
          <w:sz w:val="20"/>
          <w:szCs w:val="20"/>
        </w:rPr>
        <w:t>Keywords</w:t>
      </w:r>
      <w:r w:rsidR="00AA1314">
        <w:rPr>
          <w:rFonts w:ascii="Times New Roman" w:hAnsi="Times New Roman"/>
          <w:i/>
          <w:sz w:val="20"/>
          <w:szCs w:val="20"/>
        </w:rPr>
        <w:t>:</w:t>
      </w:r>
      <w:r w:rsidR="00AA1314" w:rsidRPr="00AA1314">
        <w:rPr>
          <w:rFonts w:ascii="Times New Roman" w:hAnsi="Times New Roman"/>
          <w:i/>
          <w:sz w:val="20"/>
          <w:szCs w:val="20"/>
        </w:rPr>
        <w:t xml:space="preserve"> Community Resilience, Community Architecture, Informal Communities, Participatory, Room for </w:t>
      </w:r>
      <w:proofErr w:type="spellStart"/>
      <w:r w:rsidR="00AA1314" w:rsidRPr="00AA1314">
        <w:rPr>
          <w:rFonts w:ascii="Times New Roman" w:hAnsi="Times New Roman"/>
          <w:i/>
          <w:sz w:val="20"/>
          <w:szCs w:val="20"/>
        </w:rPr>
        <w:t>Maneuver</w:t>
      </w:r>
      <w:proofErr w:type="spellEnd"/>
      <w:r w:rsidR="00AA1314">
        <w:rPr>
          <w:rFonts w:ascii="Times New Roman" w:hAnsi="Times New Roman"/>
          <w:i/>
          <w:sz w:val="20"/>
          <w:szCs w:val="20"/>
        </w:rPr>
        <w:t xml:space="preserve"> </w:t>
      </w:r>
    </w:p>
    <w:p w14:paraId="0D29BD36" w14:textId="77777777" w:rsidR="006B28B0" w:rsidRPr="006B28B0" w:rsidRDefault="0055025B" w:rsidP="006B28B0">
      <w:pPr>
        <w:rPr>
          <w:sz w:val="22"/>
          <w:szCs w:val="22"/>
        </w:rPr>
      </w:pPr>
      <w:r>
        <w:rPr>
          <w:noProof/>
          <w:sz w:val="22"/>
          <w:szCs w:val="22"/>
        </w:rPr>
        <mc:AlternateContent>
          <mc:Choice Requires="wps">
            <w:drawing>
              <wp:anchor distT="0" distB="0" distL="114300" distR="114300" simplePos="0" relativeHeight="251658240" behindDoc="0" locked="0" layoutInCell="1" allowOverlap="1" wp14:anchorId="39CE2EE9" wp14:editId="35EA75D7">
                <wp:simplePos x="0" y="0"/>
                <wp:positionH relativeFrom="column">
                  <wp:posOffset>367388</wp:posOffset>
                </wp:positionH>
                <wp:positionV relativeFrom="paragraph">
                  <wp:posOffset>23203</wp:posOffset>
                </wp:positionV>
                <wp:extent cx="5132982" cy="19474"/>
                <wp:effectExtent l="0" t="0" r="29845" b="19050"/>
                <wp:wrapNone/>
                <wp:docPr id="3" name="Line 2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32982" cy="194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7461F9A" id="Line 2798"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5pt,1.85pt" to="433.1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"/>
            </w:pict>
          </mc:Fallback>
        </mc:AlternateContent>
      </w:r>
    </w:p>
    <w:p w14:paraId="154C75D2" w14:textId="77777777" w:rsidR="006B28B0" w:rsidRDefault="006B28B0" w:rsidP="006B28B0">
      <w:pPr>
        <w:rPr>
          <w:sz w:val="22"/>
          <w:szCs w:val="22"/>
        </w:rPr>
      </w:pPr>
    </w:p>
    <w:p w14:paraId="3150AB6B" w14:textId="77777777" w:rsidR="00EB2C5F" w:rsidRDefault="00EB2C5F" w:rsidP="006B28B0">
      <w:pPr>
        <w:rPr>
          <w:sz w:val="22"/>
          <w:szCs w:val="22"/>
        </w:rPr>
        <w:sectPr w:rsidR="00EB2C5F" w:rsidSect="00422CB6">
          <w:headerReference w:type="even" r:id="rId9"/>
          <w:headerReference w:type="default" r:id="rId10"/>
          <w:footerReference w:type="even" r:id="rId11"/>
          <w:footerReference w:type="default" r:id="rId12"/>
          <w:footerReference w:type="first" r:id="rId13"/>
          <w:pgSz w:w="11907" w:h="16840" w:code="9"/>
          <w:pgMar w:top="1418" w:right="1418" w:bottom="1418" w:left="1418" w:header="1134" w:footer="1134" w:gutter="0"/>
          <w:pgNumType w:chapSep="emDash"/>
          <w:cols w:space="720"/>
          <w:noEndnote/>
          <w:titlePg/>
        </w:sectPr>
      </w:pPr>
    </w:p>
    <w:p w14:paraId="7ECCEF33" w14:textId="4032A115" w:rsidR="00403F32" w:rsidRPr="009C5FE8" w:rsidRDefault="00403F32" w:rsidP="00403F32">
      <w:pPr>
        <w:pStyle w:val="Heading1"/>
        <w:numPr>
          <w:ilvl w:val="0"/>
          <w:numId w:val="0"/>
        </w:numPr>
        <w:jc w:val="both"/>
        <w:rPr>
          <w:sz w:val="22"/>
          <w:szCs w:val="22"/>
        </w:rPr>
      </w:pPr>
      <w:r w:rsidRPr="009C5FE8">
        <w:rPr>
          <w:sz w:val="22"/>
          <w:szCs w:val="22"/>
        </w:rPr>
        <w:lastRenderedPageBreak/>
        <w:t xml:space="preserve">1. </w:t>
      </w:r>
      <w:r w:rsidR="00AA1314">
        <w:rPr>
          <w:sz w:val="22"/>
          <w:szCs w:val="22"/>
        </w:rPr>
        <w:t>INTRODUCTION</w:t>
      </w:r>
    </w:p>
    <w:p w14:paraId="0C7DEB2F" w14:textId="1A5EDFB7" w:rsidR="00AA1314" w:rsidRDefault="00AA1314" w:rsidP="00AA1314">
      <w:pPr>
        <w:rPr>
          <w:sz w:val="22"/>
          <w:szCs w:val="22"/>
        </w:rPr>
      </w:pPr>
      <w:r w:rsidRPr="00AA1314">
        <w:rPr>
          <w:sz w:val="22"/>
          <w:szCs w:val="22"/>
        </w:rPr>
        <w:t xml:space="preserve">The COVID-19 pandemic shows the world's unpreparedness to face another disaster category that is often ignored, those related to non-physical disasters. So, it is pretty visible how chaotic this pandemic is due to the readiness of many countries that usually only fit </w:t>
      </w:r>
      <w:r w:rsidRPr="00AA1314">
        <w:rPr>
          <w:sz w:val="22"/>
          <w:szCs w:val="22"/>
        </w:rPr>
        <w:lastRenderedPageBreak/>
        <w:t>to the post-disaster recovery process, as happens in handling physical disasters. The COVID-19 pandemic presents a different challenge because no one can concretely predict whe</w:t>
      </w:r>
      <w:r w:rsidR="00C53065">
        <w:rPr>
          <w:sz w:val="22"/>
          <w:szCs w:val="22"/>
        </w:rPr>
        <w:t>n this pandemic will end. Howev</w:t>
      </w:r>
      <w:r w:rsidRPr="00AA1314">
        <w:rPr>
          <w:sz w:val="22"/>
          <w:szCs w:val="22"/>
        </w:rPr>
        <w:t xml:space="preserve">er, the impact of this disaster has penetrated various sectors, mainly the economy. We are still </w:t>
      </w:r>
      <w:r w:rsidRPr="00AA1314">
        <w:rPr>
          <w:sz w:val="22"/>
          <w:szCs w:val="22"/>
        </w:rPr>
        <w:lastRenderedPageBreak/>
        <w:t>working on the recovery process, and it can be seen from the government's multiple policies, even though it is founded to be inconsistencies in the field (</w:t>
      </w:r>
      <w:proofErr w:type="spellStart"/>
      <w:r w:rsidRPr="00AA1314">
        <w:rPr>
          <w:sz w:val="22"/>
          <w:szCs w:val="22"/>
        </w:rPr>
        <w:t>Agustino</w:t>
      </w:r>
      <w:proofErr w:type="spellEnd"/>
      <w:r w:rsidRPr="00AA1314">
        <w:rPr>
          <w:sz w:val="22"/>
          <w:szCs w:val="22"/>
        </w:rPr>
        <w:t>, 2020). Thus, the parallel handling of impacts and prevention is forced to go hand in hand</w:t>
      </w:r>
      <w:r w:rsidR="00C53065">
        <w:rPr>
          <w:sz w:val="22"/>
          <w:szCs w:val="22"/>
        </w:rPr>
        <w:t>. One of the most critical chal</w:t>
      </w:r>
      <w:r w:rsidRPr="00AA1314">
        <w:rPr>
          <w:sz w:val="22"/>
          <w:szCs w:val="22"/>
        </w:rPr>
        <w:t>lenges is the cultural shock, which requires us to face social distancing in our togetherness culture which has long been an answer key when facing a significant challenge like a disaster.</w:t>
      </w:r>
    </w:p>
    <w:p w14:paraId="7E5E7328" w14:textId="77777777" w:rsidR="00AA1314" w:rsidRPr="00AA1314" w:rsidRDefault="00AA1314" w:rsidP="00AA1314">
      <w:pPr>
        <w:rPr>
          <w:sz w:val="22"/>
          <w:szCs w:val="22"/>
        </w:rPr>
      </w:pPr>
    </w:p>
    <w:p w14:paraId="55B42A70" w14:textId="2F0A18D4" w:rsidR="00AA1314" w:rsidRDefault="00AA1314" w:rsidP="00AA1314">
      <w:pPr>
        <w:rPr>
          <w:sz w:val="22"/>
          <w:szCs w:val="22"/>
        </w:rPr>
      </w:pPr>
      <w:r w:rsidRPr="00AA1314">
        <w:rPr>
          <w:sz w:val="22"/>
          <w:szCs w:val="22"/>
        </w:rPr>
        <w:t>Therefore, it is a bit complicated when we return to the togetherness aspect that usually acted as our main tool to solve many problems. The togetherness is buil</w:t>
      </w:r>
      <w:r w:rsidR="0035774D">
        <w:rPr>
          <w:sz w:val="22"/>
          <w:szCs w:val="22"/>
        </w:rPr>
        <w:t>t from the tradition of coopera</w:t>
      </w:r>
      <w:bookmarkStart w:id="0" w:name="_GoBack"/>
      <w:bookmarkEnd w:id="0"/>
      <w:r w:rsidRPr="00AA1314">
        <w:rPr>
          <w:sz w:val="22"/>
          <w:szCs w:val="22"/>
        </w:rPr>
        <w:t>tion attached to our daily lives</w:t>
      </w:r>
      <w:r>
        <w:rPr>
          <w:sz w:val="22"/>
          <w:szCs w:val="22"/>
        </w:rPr>
        <w:t xml:space="preserve"> </w:t>
      </w:r>
      <w:r w:rsidRPr="00AA1314">
        <w:rPr>
          <w:sz w:val="22"/>
          <w:szCs w:val="22"/>
        </w:rPr>
        <w:t>(</w:t>
      </w:r>
      <w:proofErr w:type="spellStart"/>
      <w:r w:rsidRPr="00AA1314">
        <w:rPr>
          <w:sz w:val="22"/>
          <w:szCs w:val="22"/>
        </w:rPr>
        <w:t>Bhan</w:t>
      </w:r>
      <w:proofErr w:type="spellEnd"/>
      <w:r w:rsidRPr="00AA1314">
        <w:rPr>
          <w:sz w:val="22"/>
          <w:szCs w:val="22"/>
        </w:rPr>
        <w:t xml:space="preserve"> et al., 2020; Iqbal, 2018). It i</w:t>
      </w:r>
      <w:r w:rsidR="00C53065">
        <w:rPr>
          <w:sz w:val="22"/>
          <w:szCs w:val="22"/>
        </w:rPr>
        <w:t>s interesting to do in-depth ob</w:t>
      </w:r>
      <w:r w:rsidRPr="00AA1314">
        <w:rPr>
          <w:sz w:val="22"/>
          <w:szCs w:val="22"/>
        </w:rPr>
        <w:t>servations and research regarding the transformation of togetherness or collaboration during the COVID-19 pandemic. It potentially provides a new challenge for community resilience which has often been an interesting discussion and topic when discussing dis</w:t>
      </w:r>
      <w:r w:rsidR="00C53065">
        <w:rPr>
          <w:sz w:val="22"/>
          <w:szCs w:val="22"/>
        </w:rPr>
        <w:t>aster-related matters in the In</w:t>
      </w:r>
      <w:r w:rsidRPr="00AA1314">
        <w:rPr>
          <w:sz w:val="22"/>
          <w:szCs w:val="22"/>
        </w:rPr>
        <w:t>donesian context. Is there a possibility of transformation running in a habit that has long been embedded in our society? How can we assess community resilience when dealing with the COVID-19 pandemic? What can we learn from community-based resilience, and what are the maneuvering spaces so that the concept of community resilienc</w:t>
      </w:r>
      <w:r w:rsidR="00C53065">
        <w:rPr>
          <w:sz w:val="22"/>
          <w:szCs w:val="22"/>
        </w:rPr>
        <w:t>e remains relevant during a pan</w:t>
      </w:r>
      <w:r w:rsidRPr="00AA1314">
        <w:rPr>
          <w:sz w:val="22"/>
          <w:szCs w:val="22"/>
        </w:rPr>
        <w:t>demic?</w:t>
      </w:r>
    </w:p>
    <w:p w14:paraId="25A4F0D9" w14:textId="77777777" w:rsidR="00AA1314" w:rsidRPr="00AA1314" w:rsidRDefault="00AA1314" w:rsidP="00AA1314">
      <w:pPr>
        <w:rPr>
          <w:sz w:val="22"/>
          <w:szCs w:val="22"/>
        </w:rPr>
      </w:pPr>
    </w:p>
    <w:p w14:paraId="4C398C08" w14:textId="4DFB3197" w:rsidR="00E53D59" w:rsidRPr="0062469E" w:rsidRDefault="00AA1314" w:rsidP="00AA1314">
      <w:pPr>
        <w:rPr>
          <w:sz w:val="22"/>
          <w:szCs w:val="22"/>
        </w:rPr>
      </w:pPr>
      <w:r w:rsidRPr="00AA1314">
        <w:rPr>
          <w:sz w:val="22"/>
          <w:szCs w:val="22"/>
        </w:rPr>
        <w:t>The things above need to be investigated because discussions and research related to com-munity resilience are still focused on physical disasters, not non-physical disasters such as the COVID-19 pandemic. It includes the need to reorient the urg</w:t>
      </w:r>
      <w:r w:rsidR="00C53065">
        <w:rPr>
          <w:sz w:val="22"/>
          <w:szCs w:val="22"/>
        </w:rPr>
        <w:t>ency of community-based develop</w:t>
      </w:r>
      <w:r w:rsidRPr="00AA1314">
        <w:rPr>
          <w:sz w:val="22"/>
          <w:szCs w:val="22"/>
        </w:rPr>
        <w:t>ment. According to the researcher's hypothesis, community-based disaster resilience will be more effective when applied to a society with a strong background of culture and traditions, such as Indonesia with its gotong-royong philosophy. Moreover, informal groups and communities have a stronger tendency toward togetherness to take more insi</w:t>
      </w:r>
      <w:r w:rsidR="00C53065">
        <w:rPr>
          <w:sz w:val="22"/>
          <w:szCs w:val="22"/>
        </w:rPr>
        <w:t>ghts towards non-physical disas</w:t>
      </w:r>
      <w:r w:rsidRPr="00AA1314">
        <w:rPr>
          <w:sz w:val="22"/>
          <w:szCs w:val="22"/>
        </w:rPr>
        <w:t>ter handling in the future.</w:t>
      </w:r>
      <w:r w:rsidR="00403F32" w:rsidRPr="007D2526">
        <w:rPr>
          <w:sz w:val="22"/>
          <w:szCs w:val="22"/>
        </w:rPr>
        <w:t xml:space="preserve"> </w:t>
      </w:r>
    </w:p>
    <w:p w14:paraId="56BDF4CF" w14:textId="77777777" w:rsidR="00E53D59" w:rsidRPr="00F1635A" w:rsidRDefault="00E53D59" w:rsidP="00403F32">
      <w:pPr>
        <w:rPr>
          <w:sz w:val="22"/>
          <w:szCs w:val="22"/>
        </w:rPr>
      </w:pPr>
    </w:p>
    <w:p w14:paraId="5065843D" w14:textId="6EB0B03E" w:rsidR="0065446B" w:rsidRDefault="00403F32" w:rsidP="0065446B">
      <w:pPr>
        <w:pStyle w:val="Heading1"/>
        <w:numPr>
          <w:ilvl w:val="0"/>
          <w:numId w:val="0"/>
        </w:numPr>
        <w:spacing w:before="120"/>
        <w:jc w:val="both"/>
        <w:rPr>
          <w:b w:val="0"/>
          <w:sz w:val="22"/>
          <w:szCs w:val="22"/>
        </w:rPr>
      </w:pPr>
      <w:r w:rsidRPr="0065446B">
        <w:rPr>
          <w:sz w:val="22"/>
          <w:szCs w:val="22"/>
        </w:rPr>
        <w:lastRenderedPageBreak/>
        <w:t xml:space="preserve">2. </w:t>
      </w:r>
      <w:r w:rsidR="0065446B" w:rsidRPr="0065446B">
        <w:rPr>
          <w:sz w:val="22"/>
          <w:szCs w:val="22"/>
        </w:rPr>
        <w:t>MET</w:t>
      </w:r>
      <w:r w:rsidR="00AA1314">
        <w:rPr>
          <w:sz w:val="22"/>
          <w:szCs w:val="22"/>
        </w:rPr>
        <w:t>HODS</w:t>
      </w:r>
    </w:p>
    <w:p w14:paraId="5FC37F72" w14:textId="48ECA251" w:rsidR="00AA1314" w:rsidRDefault="00AA1314" w:rsidP="00AA1314">
      <w:pPr>
        <w:rPr>
          <w:sz w:val="22"/>
        </w:rPr>
      </w:pPr>
      <w:r w:rsidRPr="00AA1314">
        <w:rPr>
          <w:sz w:val="22"/>
        </w:rPr>
        <w:t>This research was conducted qualitatively with a descriptive analysis to produce an in-depth research study. The investigation is carried out by tabulating data based on the research focus to be processed and analyzed; thus, it will provide an overview of the existing problems (</w:t>
      </w:r>
      <w:proofErr w:type="spellStart"/>
      <w:r w:rsidRPr="00AA1314">
        <w:rPr>
          <w:sz w:val="22"/>
        </w:rPr>
        <w:t>Sugiyono</w:t>
      </w:r>
      <w:proofErr w:type="spellEnd"/>
      <w:r w:rsidRPr="00AA1314">
        <w:rPr>
          <w:sz w:val="22"/>
        </w:rPr>
        <w:t>, 2017). Tabulation technique of data collection is done through literature study from various sources such as books, journals, news both online and offline. T</w:t>
      </w:r>
      <w:r w:rsidR="00C53065">
        <w:rPr>
          <w:sz w:val="22"/>
        </w:rPr>
        <w:t>he data collection is then inter</w:t>
      </w:r>
      <w:r w:rsidRPr="00AA1314">
        <w:rPr>
          <w:sz w:val="22"/>
        </w:rPr>
        <w:t>preted with a specific case study on community resilience and its maneuvers during the COVID-19 pandemic.</w:t>
      </w:r>
    </w:p>
    <w:p w14:paraId="4C4AB46C" w14:textId="77777777" w:rsidR="00AA1314" w:rsidRPr="00AA1314" w:rsidRDefault="00AA1314" w:rsidP="00AA1314">
      <w:pPr>
        <w:rPr>
          <w:sz w:val="22"/>
        </w:rPr>
      </w:pPr>
    </w:p>
    <w:p w14:paraId="69FD2AC1" w14:textId="2518D168" w:rsidR="00AA1314" w:rsidRDefault="00AA1314" w:rsidP="00AA1314">
      <w:pPr>
        <w:rPr>
          <w:sz w:val="22"/>
        </w:rPr>
      </w:pPr>
      <w:r w:rsidRPr="00AA1314">
        <w:rPr>
          <w:sz w:val="22"/>
        </w:rPr>
        <w:t xml:space="preserve">In addition to the analysis description, the data processing is also accompanied by Room </w:t>
      </w:r>
      <w:proofErr w:type="gramStart"/>
      <w:r w:rsidRPr="00AA1314">
        <w:rPr>
          <w:sz w:val="22"/>
        </w:rPr>
        <w:t>For</w:t>
      </w:r>
      <w:proofErr w:type="gramEnd"/>
      <w:r w:rsidRPr="00AA1314">
        <w:rPr>
          <w:sz w:val="22"/>
        </w:rPr>
        <w:t xml:space="preserve"> Maneuver</w:t>
      </w:r>
      <w:r w:rsidR="008253E8">
        <w:rPr>
          <w:sz w:val="22"/>
        </w:rPr>
        <w:t xml:space="preserve"> </w:t>
      </w:r>
      <w:r w:rsidRPr="00AA1314">
        <w:rPr>
          <w:sz w:val="22"/>
        </w:rPr>
        <w:t>(</w:t>
      </w:r>
      <w:proofErr w:type="spellStart"/>
      <w:r w:rsidRPr="00AA1314">
        <w:rPr>
          <w:sz w:val="22"/>
        </w:rPr>
        <w:t>Safier</w:t>
      </w:r>
      <w:proofErr w:type="spellEnd"/>
      <w:r w:rsidRPr="00AA1314">
        <w:rPr>
          <w:sz w:val="22"/>
        </w:rPr>
        <w:t xml:space="preserve">, 2002) as its entry point to produce an in-depth </w:t>
      </w:r>
      <w:r w:rsidR="00C53065">
        <w:rPr>
          <w:sz w:val="22"/>
        </w:rPr>
        <w:t>identification of existing prac</w:t>
      </w:r>
      <w:r w:rsidRPr="00AA1314">
        <w:rPr>
          <w:sz w:val="22"/>
        </w:rPr>
        <w:t xml:space="preserve">tices. According to </w:t>
      </w:r>
      <w:proofErr w:type="spellStart"/>
      <w:r w:rsidRPr="00AA1314">
        <w:rPr>
          <w:sz w:val="22"/>
        </w:rPr>
        <w:t>Safier</w:t>
      </w:r>
      <w:proofErr w:type="spellEnd"/>
      <w:r w:rsidRPr="00AA1314">
        <w:rPr>
          <w:sz w:val="22"/>
        </w:rPr>
        <w:t>, Room for Maneuver makes up the “driver of change,” employing four dimensions: technical, organizational, social, and strategic action. Furthermore, descriptive in-formation and empirical studies are used to provide validity to the qualitative research.</w:t>
      </w:r>
    </w:p>
    <w:p w14:paraId="2CDB63C6" w14:textId="77777777" w:rsidR="00AA1314" w:rsidRPr="00AA1314" w:rsidRDefault="00AA1314" w:rsidP="00AA1314">
      <w:pPr>
        <w:rPr>
          <w:sz w:val="22"/>
        </w:rPr>
      </w:pPr>
    </w:p>
    <w:p w14:paraId="42236FFA" w14:textId="6C6BC394" w:rsidR="00D146E0" w:rsidRPr="00D146E0" w:rsidRDefault="00AA1314" w:rsidP="008253E8">
      <w:r w:rsidRPr="00AA1314">
        <w:rPr>
          <w:sz w:val="22"/>
        </w:rPr>
        <w:t>The research is divided into two stages: data collection and data analysis. Primary data col-lection employs a snowball method to select relevant respondents to extract data. Then in-depth interviews using semi-structured questions with the community and facilitators were used to dig into the actual conditions. The immersion technique is also used to capture real phenomena in the field by observing respondent’s views. The community involv</w:t>
      </w:r>
      <w:r w:rsidR="00C53065">
        <w:rPr>
          <w:sz w:val="22"/>
        </w:rPr>
        <w:t xml:space="preserve">ed in this research is the </w:t>
      </w:r>
      <w:proofErr w:type="spellStart"/>
      <w:r w:rsidR="00C53065">
        <w:rPr>
          <w:sz w:val="22"/>
        </w:rPr>
        <w:t>Kali</w:t>
      </w:r>
      <w:r w:rsidRPr="00AA1314">
        <w:rPr>
          <w:sz w:val="22"/>
        </w:rPr>
        <w:t>jawi</w:t>
      </w:r>
      <w:proofErr w:type="spellEnd"/>
      <w:r w:rsidRPr="00AA1314">
        <w:rPr>
          <w:sz w:val="22"/>
        </w:rPr>
        <w:t xml:space="preserve"> Community (Community of Residents in the Outskirts of Gajah Wong and </w:t>
      </w:r>
      <w:proofErr w:type="spellStart"/>
      <w:r w:rsidRPr="00AA1314">
        <w:rPr>
          <w:sz w:val="22"/>
        </w:rPr>
        <w:t>Winongo</w:t>
      </w:r>
      <w:proofErr w:type="spellEnd"/>
      <w:r w:rsidRPr="00AA1314">
        <w:rPr>
          <w:sz w:val="22"/>
        </w:rPr>
        <w:t>). This community has long collaborated with ARKOM (Community Arc</w:t>
      </w:r>
      <w:r w:rsidR="008253E8">
        <w:rPr>
          <w:sz w:val="22"/>
        </w:rPr>
        <w:t>hitecture) as a community facil</w:t>
      </w:r>
      <w:r w:rsidRPr="00AA1314">
        <w:rPr>
          <w:sz w:val="22"/>
        </w:rPr>
        <w:t>itator.</w:t>
      </w:r>
      <w:r>
        <w:rPr>
          <w:sz w:val="22"/>
        </w:rPr>
        <w:t xml:space="preserve">  </w:t>
      </w:r>
    </w:p>
    <w:p w14:paraId="648B9E0A" w14:textId="08EC2F9C" w:rsidR="0065446B" w:rsidRDefault="0065446B" w:rsidP="00F96BAE">
      <w:pPr>
        <w:spacing w:before="240" w:after="120"/>
        <w:rPr>
          <w:b/>
          <w:sz w:val="22"/>
          <w:szCs w:val="22"/>
        </w:rPr>
      </w:pPr>
      <w:r w:rsidRPr="0065446B">
        <w:rPr>
          <w:b/>
          <w:sz w:val="22"/>
          <w:szCs w:val="22"/>
        </w:rPr>
        <w:t xml:space="preserve">3. </w:t>
      </w:r>
      <w:r w:rsidR="008253E8">
        <w:rPr>
          <w:b/>
          <w:sz w:val="22"/>
          <w:szCs w:val="22"/>
        </w:rPr>
        <w:t>RESULTS AND DISCUSSION</w:t>
      </w:r>
    </w:p>
    <w:p w14:paraId="79516587" w14:textId="40745705" w:rsidR="008253E8" w:rsidRPr="008253E8" w:rsidRDefault="008253E8" w:rsidP="008253E8">
      <w:pPr>
        <w:spacing w:before="120" w:after="120"/>
        <w:rPr>
          <w:b/>
          <w:sz w:val="22"/>
          <w:szCs w:val="22"/>
        </w:rPr>
      </w:pPr>
      <w:r>
        <w:rPr>
          <w:b/>
          <w:sz w:val="22"/>
          <w:szCs w:val="22"/>
        </w:rPr>
        <w:t xml:space="preserve">3.1 </w:t>
      </w:r>
      <w:r w:rsidRPr="008253E8">
        <w:rPr>
          <w:b/>
          <w:sz w:val="22"/>
          <w:szCs w:val="22"/>
        </w:rPr>
        <w:t>Challenging Community Resilience through Room for Maneuver</w:t>
      </w:r>
    </w:p>
    <w:p w14:paraId="42B0DC5C" w14:textId="2C19E641" w:rsidR="008253E8" w:rsidRPr="008253E8" w:rsidRDefault="008253E8" w:rsidP="008253E8">
      <w:pPr>
        <w:spacing w:before="120" w:after="120"/>
        <w:rPr>
          <w:sz w:val="22"/>
          <w:szCs w:val="22"/>
        </w:rPr>
      </w:pPr>
      <w:r w:rsidRPr="008253E8">
        <w:rPr>
          <w:sz w:val="22"/>
          <w:szCs w:val="22"/>
        </w:rPr>
        <w:t xml:space="preserve">Resilience is the ability to respond and recover from disasters (Cutter et al., 2008). In urban areas, studies on resilience are also well developed, and it is divided into three main </w:t>
      </w:r>
      <w:r w:rsidR="0035774D">
        <w:rPr>
          <w:sz w:val="22"/>
          <w:szCs w:val="22"/>
        </w:rPr>
        <w:lastRenderedPageBreak/>
        <w:t>characteris</w:t>
      </w:r>
      <w:r w:rsidRPr="008253E8">
        <w:rPr>
          <w:sz w:val="22"/>
          <w:szCs w:val="22"/>
        </w:rPr>
        <w:t>tics: the ability to persist, adapt, and transform (</w:t>
      </w:r>
      <w:proofErr w:type="spellStart"/>
      <w:r w:rsidRPr="008253E8">
        <w:rPr>
          <w:sz w:val="22"/>
          <w:szCs w:val="22"/>
        </w:rPr>
        <w:t>Folke</w:t>
      </w:r>
      <w:proofErr w:type="spellEnd"/>
      <w:r w:rsidRPr="008253E8">
        <w:rPr>
          <w:sz w:val="22"/>
          <w:szCs w:val="22"/>
        </w:rPr>
        <w:t xml:space="preserve">, C., S. R. Carpenter, B. Walker, M. </w:t>
      </w:r>
      <w:proofErr w:type="spellStart"/>
      <w:r w:rsidRPr="008253E8">
        <w:rPr>
          <w:sz w:val="22"/>
          <w:szCs w:val="22"/>
        </w:rPr>
        <w:t>Scheffer</w:t>
      </w:r>
      <w:proofErr w:type="spellEnd"/>
      <w:r w:rsidRPr="008253E8">
        <w:rPr>
          <w:sz w:val="22"/>
          <w:szCs w:val="22"/>
        </w:rPr>
        <w:t>, T. Chapin, 2010). This concept then sharpened again with the id</w:t>
      </w:r>
      <w:r w:rsidR="0035774D">
        <w:rPr>
          <w:sz w:val="22"/>
          <w:szCs w:val="22"/>
        </w:rPr>
        <w:t>ea of community as a form of re</w:t>
      </w:r>
      <w:r w:rsidRPr="008253E8">
        <w:rPr>
          <w:sz w:val="22"/>
          <w:szCs w:val="22"/>
        </w:rPr>
        <w:t xml:space="preserve">silience as community resilience. The concept of community resilience is widely applied to re-search related to post-disaster management, such as what happened in cases of physical disasters like the eruption of Mount </w:t>
      </w:r>
      <w:proofErr w:type="spellStart"/>
      <w:r w:rsidRPr="008253E8">
        <w:rPr>
          <w:sz w:val="22"/>
          <w:szCs w:val="22"/>
        </w:rPr>
        <w:t>Merapi</w:t>
      </w:r>
      <w:proofErr w:type="spellEnd"/>
      <w:r w:rsidRPr="008253E8">
        <w:rPr>
          <w:sz w:val="22"/>
          <w:szCs w:val="22"/>
        </w:rPr>
        <w:t xml:space="preserve"> in Yogyakarta </w:t>
      </w:r>
      <w:proofErr w:type="spellStart"/>
      <w:r w:rsidRPr="008253E8">
        <w:rPr>
          <w:sz w:val="22"/>
          <w:szCs w:val="22"/>
        </w:rPr>
        <w:t>Gunung</w:t>
      </w:r>
      <w:proofErr w:type="spellEnd"/>
      <w:r w:rsidRPr="008253E8">
        <w:rPr>
          <w:sz w:val="22"/>
          <w:szCs w:val="22"/>
        </w:rPr>
        <w:t xml:space="preserve"> </w:t>
      </w:r>
      <w:proofErr w:type="spellStart"/>
      <w:r w:rsidRPr="008253E8">
        <w:rPr>
          <w:sz w:val="22"/>
          <w:szCs w:val="22"/>
        </w:rPr>
        <w:t>Merapi</w:t>
      </w:r>
      <w:proofErr w:type="spellEnd"/>
      <w:r w:rsidRPr="008253E8">
        <w:rPr>
          <w:sz w:val="22"/>
          <w:szCs w:val="22"/>
        </w:rPr>
        <w:t xml:space="preserve"> di Yogyakarta (Akbar, 2019; Jana et al., 2016; Rahman et al., 2016). However, there are still few studies related to resilience and its relation to non-physical disasters such as the COVID-19 pandemic. Even though residents and communities in the field have carried out many independent initiatives, it needs to be re-viewed to be claimed as a resilience effort. Most of these initiat</w:t>
      </w:r>
      <w:r w:rsidR="0035774D">
        <w:rPr>
          <w:sz w:val="22"/>
          <w:szCs w:val="22"/>
        </w:rPr>
        <w:t>ions are carried out by communi</w:t>
      </w:r>
      <w:r w:rsidRPr="008253E8">
        <w:rPr>
          <w:sz w:val="22"/>
          <w:szCs w:val="22"/>
        </w:rPr>
        <w:t xml:space="preserve">ty groups in the informal category (French et al., 2020). Informal here is not only related to land and residential status so that it can be categorized as a vulnerable </w:t>
      </w:r>
      <w:r w:rsidR="0035774D">
        <w:rPr>
          <w:sz w:val="22"/>
          <w:szCs w:val="22"/>
        </w:rPr>
        <w:t>community, but it is also relat</w:t>
      </w:r>
      <w:r w:rsidRPr="008253E8">
        <w:rPr>
          <w:sz w:val="22"/>
          <w:szCs w:val="22"/>
        </w:rPr>
        <w:t xml:space="preserve">ed to their livelihoods. Data shows that around 80% (BPS, 2019) of the economic contribution in Yogyakarta is supported by the informal sector, which is also the sector most affected by the COVID-19 pandemic. </w:t>
      </w:r>
    </w:p>
    <w:p w14:paraId="5B3AC5C4" w14:textId="1D6A42B9" w:rsidR="00271873" w:rsidRDefault="008253E8" w:rsidP="008253E8">
      <w:pPr>
        <w:spacing w:before="120" w:after="120"/>
        <w:rPr>
          <w:sz w:val="22"/>
          <w:szCs w:val="22"/>
        </w:rPr>
      </w:pPr>
      <w:r w:rsidRPr="008253E8">
        <w:rPr>
          <w:sz w:val="22"/>
          <w:szCs w:val="22"/>
        </w:rPr>
        <w:t>Room for Maneuver (</w:t>
      </w:r>
      <w:proofErr w:type="spellStart"/>
      <w:r w:rsidRPr="008253E8">
        <w:rPr>
          <w:sz w:val="22"/>
          <w:szCs w:val="22"/>
        </w:rPr>
        <w:t>RfM</w:t>
      </w:r>
      <w:proofErr w:type="spellEnd"/>
      <w:r w:rsidRPr="008253E8">
        <w:rPr>
          <w:sz w:val="22"/>
          <w:szCs w:val="22"/>
        </w:rPr>
        <w:t>) is a conception of inter-dimensional analysis consisting of four models of space for action to encourage drivers of change (</w:t>
      </w:r>
      <w:proofErr w:type="spellStart"/>
      <w:r w:rsidRPr="008253E8">
        <w:rPr>
          <w:sz w:val="22"/>
          <w:szCs w:val="22"/>
        </w:rPr>
        <w:t>Safier</w:t>
      </w:r>
      <w:proofErr w:type="spellEnd"/>
      <w:r w:rsidRPr="008253E8">
        <w:rPr>
          <w:sz w:val="22"/>
          <w:szCs w:val="22"/>
        </w:rPr>
        <w:t>, 2002). These four dimensions are technical, organizational, social, and strategic actions. The technical d</w:t>
      </w:r>
      <w:r>
        <w:rPr>
          <w:sz w:val="22"/>
          <w:szCs w:val="22"/>
        </w:rPr>
        <w:t>imension involves indi</w:t>
      </w:r>
      <w:r w:rsidRPr="008253E8">
        <w:rPr>
          <w:sz w:val="22"/>
          <w:szCs w:val="22"/>
        </w:rPr>
        <w:t>vidual and groups ethic in advancing local knowledge. Next, the</w:t>
      </w:r>
      <w:r w:rsidR="0035774D">
        <w:rPr>
          <w:sz w:val="22"/>
          <w:szCs w:val="22"/>
        </w:rPr>
        <w:t xml:space="preserve"> organizational dimension devel</w:t>
      </w:r>
      <w:r w:rsidRPr="008253E8">
        <w:rPr>
          <w:sz w:val="22"/>
          <w:szCs w:val="22"/>
        </w:rPr>
        <w:t>ops the existing institution's goals, priorities, resources, and proc</w:t>
      </w:r>
      <w:r w:rsidR="0035774D">
        <w:rPr>
          <w:sz w:val="22"/>
          <w:szCs w:val="22"/>
        </w:rPr>
        <w:t>edures. Third, the social dimen</w:t>
      </w:r>
      <w:r w:rsidRPr="008253E8">
        <w:rPr>
          <w:sz w:val="22"/>
          <w:szCs w:val="22"/>
        </w:rPr>
        <w:t>sion refers to social interaction, mobilization, participation, and collaboration. Lastly, th</w:t>
      </w:r>
      <w:r w:rsidR="0035774D">
        <w:rPr>
          <w:sz w:val="22"/>
          <w:szCs w:val="22"/>
        </w:rPr>
        <w:t>e strate</w:t>
      </w:r>
      <w:r w:rsidRPr="008253E8">
        <w:rPr>
          <w:sz w:val="22"/>
          <w:szCs w:val="22"/>
        </w:rPr>
        <w:t xml:space="preserve">gic dimension connects with contextual circumstances to identify </w:t>
      </w:r>
      <w:r w:rsidR="0035774D">
        <w:rPr>
          <w:sz w:val="22"/>
          <w:szCs w:val="22"/>
        </w:rPr>
        <w:t>and exploit situations strategi</w:t>
      </w:r>
      <w:r w:rsidRPr="008253E8">
        <w:rPr>
          <w:sz w:val="22"/>
          <w:szCs w:val="22"/>
        </w:rPr>
        <w:t>cally related to time and space. Such a general formulation, Ro</w:t>
      </w:r>
      <w:r w:rsidR="0035774D">
        <w:rPr>
          <w:sz w:val="22"/>
          <w:szCs w:val="22"/>
        </w:rPr>
        <w:t>om for Maneuver, needs to be ex</w:t>
      </w:r>
      <w:r w:rsidRPr="008253E8">
        <w:rPr>
          <w:sz w:val="22"/>
          <w:szCs w:val="22"/>
        </w:rPr>
        <w:t xml:space="preserve">plained by experience and can only be implied here using specific case references from the com-munity and city levels. </w:t>
      </w:r>
      <w:proofErr w:type="spellStart"/>
      <w:r w:rsidRPr="008253E8">
        <w:rPr>
          <w:sz w:val="22"/>
          <w:szCs w:val="22"/>
        </w:rPr>
        <w:t>Safier's</w:t>
      </w:r>
      <w:proofErr w:type="spellEnd"/>
      <w:r w:rsidRPr="008253E8">
        <w:rPr>
          <w:sz w:val="22"/>
          <w:szCs w:val="22"/>
        </w:rPr>
        <w:t xml:space="preserve"> four dimensions are used to gro</w:t>
      </w:r>
      <w:r w:rsidR="0035774D">
        <w:rPr>
          <w:sz w:val="22"/>
          <w:szCs w:val="22"/>
        </w:rPr>
        <w:t>up the types of actions that re</w:t>
      </w:r>
      <w:r w:rsidRPr="008253E8">
        <w:rPr>
          <w:sz w:val="22"/>
          <w:szCs w:val="22"/>
        </w:rPr>
        <w:t xml:space="preserve">spond to the pandemic </w:t>
      </w:r>
      <w:r w:rsidRPr="008253E8">
        <w:rPr>
          <w:sz w:val="22"/>
          <w:szCs w:val="22"/>
        </w:rPr>
        <w:lastRenderedPageBreak/>
        <w:t xml:space="preserve">challenge by focusing on the work of ARKOM and </w:t>
      </w:r>
      <w:proofErr w:type="spellStart"/>
      <w:r w:rsidRPr="008253E8">
        <w:rPr>
          <w:sz w:val="22"/>
          <w:szCs w:val="22"/>
        </w:rPr>
        <w:t>Kalijawi</w:t>
      </w:r>
      <w:proofErr w:type="spellEnd"/>
      <w:r w:rsidRPr="008253E8">
        <w:rPr>
          <w:sz w:val="22"/>
          <w:szCs w:val="22"/>
        </w:rPr>
        <w:t>.</w:t>
      </w:r>
    </w:p>
    <w:p w14:paraId="367ACE1E" w14:textId="5C7D1AD4" w:rsidR="008253E8" w:rsidRPr="008253E8" w:rsidRDefault="008253E8" w:rsidP="008253E8">
      <w:pPr>
        <w:spacing w:before="120" w:after="120"/>
        <w:rPr>
          <w:b/>
          <w:sz w:val="22"/>
          <w:szCs w:val="22"/>
        </w:rPr>
      </w:pPr>
      <w:r>
        <w:rPr>
          <w:b/>
          <w:sz w:val="22"/>
          <w:szCs w:val="22"/>
        </w:rPr>
        <w:t xml:space="preserve">3.2 </w:t>
      </w:r>
      <w:r w:rsidRPr="008253E8">
        <w:rPr>
          <w:b/>
          <w:sz w:val="22"/>
          <w:szCs w:val="22"/>
        </w:rPr>
        <w:t xml:space="preserve">Identifying and Expanding Room for Maneuver </w:t>
      </w:r>
    </w:p>
    <w:p w14:paraId="204213C4" w14:textId="77777777" w:rsidR="008253E8" w:rsidRPr="008253E8" w:rsidRDefault="008253E8" w:rsidP="008253E8">
      <w:pPr>
        <w:spacing w:before="120" w:after="120"/>
        <w:rPr>
          <w:b/>
          <w:sz w:val="22"/>
          <w:szCs w:val="22"/>
        </w:rPr>
      </w:pPr>
      <w:r w:rsidRPr="008253E8">
        <w:rPr>
          <w:b/>
          <w:sz w:val="22"/>
          <w:szCs w:val="22"/>
        </w:rPr>
        <w:t>Technical Dimensions</w:t>
      </w:r>
    </w:p>
    <w:p w14:paraId="21FD08E4" w14:textId="77777777" w:rsidR="008253E8" w:rsidRPr="008253E8" w:rsidRDefault="008253E8" w:rsidP="008253E8">
      <w:pPr>
        <w:spacing w:before="120" w:after="120"/>
        <w:rPr>
          <w:sz w:val="22"/>
          <w:szCs w:val="22"/>
        </w:rPr>
      </w:pPr>
      <w:r w:rsidRPr="008253E8">
        <w:rPr>
          <w:sz w:val="22"/>
          <w:szCs w:val="22"/>
        </w:rPr>
        <w:t xml:space="preserve">Since 2009, </w:t>
      </w:r>
      <w:proofErr w:type="spellStart"/>
      <w:r w:rsidRPr="008253E8">
        <w:rPr>
          <w:sz w:val="22"/>
          <w:szCs w:val="22"/>
        </w:rPr>
        <w:t>Arsitek</w:t>
      </w:r>
      <w:proofErr w:type="spellEnd"/>
      <w:r w:rsidRPr="008253E8">
        <w:rPr>
          <w:sz w:val="22"/>
          <w:szCs w:val="22"/>
        </w:rPr>
        <w:t xml:space="preserve"> </w:t>
      </w:r>
      <w:proofErr w:type="spellStart"/>
      <w:r w:rsidRPr="008253E8">
        <w:rPr>
          <w:sz w:val="22"/>
          <w:szCs w:val="22"/>
        </w:rPr>
        <w:t>Komunitas</w:t>
      </w:r>
      <w:proofErr w:type="spellEnd"/>
      <w:r w:rsidRPr="008253E8">
        <w:rPr>
          <w:sz w:val="22"/>
          <w:szCs w:val="22"/>
        </w:rPr>
        <w:t xml:space="preserve"> (ARKOM) has assisted vulnerable communities in Yogyakarta and other Indonesian cities (Arkom Indonesia, 2020a). They acted as a technical organization and NGO that works on the issue of just cities, local wisdom, participatory approach, co-production knowledge, and disaster management. Their main initial action mostly started with a community mapping exercise. Through community mapping, the community could identify their needs, problems and put them on a map for different possible solutions and actions (</w:t>
      </w:r>
      <w:proofErr w:type="spellStart"/>
      <w:r w:rsidRPr="008253E8">
        <w:rPr>
          <w:sz w:val="22"/>
          <w:szCs w:val="22"/>
        </w:rPr>
        <w:t>Roitman</w:t>
      </w:r>
      <w:proofErr w:type="spellEnd"/>
      <w:r w:rsidRPr="008253E8">
        <w:rPr>
          <w:sz w:val="22"/>
          <w:szCs w:val="22"/>
        </w:rPr>
        <w:t xml:space="preserve">, 2019).  </w:t>
      </w:r>
      <w:proofErr w:type="spellStart"/>
      <w:r w:rsidRPr="008253E8">
        <w:rPr>
          <w:sz w:val="22"/>
          <w:szCs w:val="22"/>
        </w:rPr>
        <w:t>Kalijawi</w:t>
      </w:r>
      <w:proofErr w:type="spellEnd"/>
      <w:r w:rsidRPr="008253E8">
        <w:rPr>
          <w:sz w:val="22"/>
          <w:szCs w:val="22"/>
        </w:rPr>
        <w:t xml:space="preserve"> is one of the informal riverside communities in Yogyakarta that works with ARKOM since 2012 (</w:t>
      </w:r>
      <w:proofErr w:type="spellStart"/>
      <w:r w:rsidRPr="008253E8">
        <w:rPr>
          <w:sz w:val="22"/>
          <w:szCs w:val="22"/>
        </w:rPr>
        <w:t>Kalijawi</w:t>
      </w:r>
      <w:proofErr w:type="spellEnd"/>
      <w:r w:rsidRPr="008253E8">
        <w:rPr>
          <w:sz w:val="22"/>
          <w:szCs w:val="22"/>
        </w:rPr>
        <w:t xml:space="preserve"> Community, 2015). As a community-based organization, they can renovate more than 150 houses in 2015 through their collective community-saving. </w:t>
      </w:r>
    </w:p>
    <w:p w14:paraId="034ADFA2" w14:textId="77777777" w:rsidR="008253E8" w:rsidRPr="008253E8" w:rsidRDefault="008253E8" w:rsidP="008253E8">
      <w:pPr>
        <w:spacing w:before="120" w:after="120"/>
        <w:rPr>
          <w:sz w:val="22"/>
          <w:szCs w:val="22"/>
        </w:rPr>
      </w:pPr>
      <w:r w:rsidRPr="008253E8">
        <w:rPr>
          <w:sz w:val="22"/>
          <w:szCs w:val="22"/>
        </w:rPr>
        <w:t xml:space="preserve">The pandemic has brought a different challenge to these groups, where they usually utilize a spirit of togetherness and collective actions to overcome the problem. However, seeing disaster as an opportunity (Archer &amp; </w:t>
      </w:r>
      <w:proofErr w:type="spellStart"/>
      <w:r w:rsidRPr="008253E8">
        <w:rPr>
          <w:sz w:val="22"/>
          <w:szCs w:val="22"/>
        </w:rPr>
        <w:t>Boonyabancha</w:t>
      </w:r>
      <w:proofErr w:type="spellEnd"/>
      <w:r w:rsidRPr="008253E8">
        <w:rPr>
          <w:sz w:val="22"/>
          <w:szCs w:val="22"/>
        </w:rPr>
        <w:t xml:space="preserve">, 2011), ARKOM and </w:t>
      </w:r>
      <w:proofErr w:type="spellStart"/>
      <w:r w:rsidRPr="008253E8">
        <w:rPr>
          <w:sz w:val="22"/>
          <w:szCs w:val="22"/>
        </w:rPr>
        <w:t>Kalijawi</w:t>
      </w:r>
      <w:proofErr w:type="spellEnd"/>
      <w:r w:rsidRPr="008253E8">
        <w:rPr>
          <w:sz w:val="22"/>
          <w:szCs w:val="22"/>
        </w:rPr>
        <w:t xml:space="preserve"> could level up their technical measures on the ground. For example, they adapted an online-based mapping tool through </w:t>
      </w:r>
      <w:proofErr w:type="spellStart"/>
      <w:r w:rsidRPr="008253E8">
        <w:rPr>
          <w:sz w:val="22"/>
          <w:szCs w:val="22"/>
        </w:rPr>
        <w:t>Maptionnaire</w:t>
      </w:r>
      <w:proofErr w:type="spellEnd"/>
      <w:r w:rsidRPr="008253E8">
        <w:rPr>
          <w:sz w:val="22"/>
          <w:szCs w:val="22"/>
        </w:rPr>
        <w:t xml:space="preserve"> Platform and Google Form when related to the mapping condition. This initiation is important at the beginning of the pandemic, where the government came up with strict regulation of mobilization. The data collection was used to assess the actual condition and distribute the aid.</w:t>
      </w:r>
    </w:p>
    <w:p w14:paraId="129BFCC7" w14:textId="559B4C34" w:rsidR="008253E8" w:rsidRPr="008253E8" w:rsidRDefault="008253E8" w:rsidP="008253E8">
      <w:pPr>
        <w:spacing w:before="120" w:after="120"/>
        <w:rPr>
          <w:sz w:val="22"/>
          <w:szCs w:val="22"/>
        </w:rPr>
      </w:pPr>
      <w:r w:rsidRPr="008253E8">
        <w:rPr>
          <w:sz w:val="22"/>
          <w:szCs w:val="22"/>
        </w:rPr>
        <w:t>Another thing that needs to be mentioned is the way the</w:t>
      </w:r>
      <w:r w:rsidR="0035774D">
        <w:rPr>
          <w:sz w:val="22"/>
          <w:szCs w:val="22"/>
        </w:rPr>
        <w:t>y gather and communicate. Previ</w:t>
      </w:r>
      <w:r w:rsidRPr="008253E8">
        <w:rPr>
          <w:sz w:val="22"/>
          <w:szCs w:val="22"/>
        </w:rPr>
        <w:t>ously, conventional meeting activities through a routine and reg</w:t>
      </w:r>
      <w:r w:rsidR="0035774D">
        <w:rPr>
          <w:sz w:val="22"/>
          <w:szCs w:val="22"/>
        </w:rPr>
        <w:t>ular schedule are done by an of</w:t>
      </w:r>
      <w:r w:rsidRPr="008253E8">
        <w:rPr>
          <w:sz w:val="22"/>
          <w:szCs w:val="22"/>
        </w:rPr>
        <w:t>fline meeting. During this pandemic, they can adapt to an online</w:t>
      </w:r>
      <w:r w:rsidR="0035774D">
        <w:rPr>
          <w:sz w:val="22"/>
          <w:szCs w:val="22"/>
        </w:rPr>
        <w:t xml:space="preserve"> group meeting and chat applica</w:t>
      </w:r>
      <w:r w:rsidRPr="008253E8">
        <w:rPr>
          <w:sz w:val="22"/>
          <w:szCs w:val="22"/>
        </w:rPr>
        <w:t xml:space="preserve">tion that allows them to communicate and make participative decisions. Adopting this new habit is not that easy; it also raises new power distribution and relations challenges. </w:t>
      </w:r>
      <w:r>
        <w:rPr>
          <w:noProof/>
        </w:rPr>
        <w:lastRenderedPageBreak/>
        <w:drawing>
          <wp:anchor distT="0" distB="0" distL="114300" distR="114300" simplePos="0" relativeHeight="251662336" behindDoc="0" locked="0" layoutInCell="1" allowOverlap="1" wp14:anchorId="4E5981E2" wp14:editId="60CFCB0C">
            <wp:simplePos x="0" y="0"/>
            <wp:positionH relativeFrom="column">
              <wp:posOffset>2928620</wp:posOffset>
            </wp:positionH>
            <wp:positionV relativeFrom="paragraph">
              <wp:posOffset>66675</wp:posOffset>
            </wp:positionV>
            <wp:extent cx="2656115" cy="17145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6115" cy="1714500"/>
                    </a:xfrm>
                    <a:prstGeom prst="rect">
                      <a:avLst/>
                    </a:prstGeom>
                  </pic:spPr>
                </pic:pic>
              </a:graphicData>
            </a:graphic>
            <wp14:sizeRelH relativeFrom="page">
              <wp14:pctWidth>0</wp14:pctWidth>
            </wp14:sizeRelH>
            <wp14:sizeRelV relativeFrom="page">
              <wp14:pctHeight>0</wp14:pctHeight>
            </wp14:sizeRelV>
          </wp:anchor>
        </w:drawing>
      </w:r>
      <w:r w:rsidRPr="008253E8">
        <w:rPr>
          <w:sz w:val="22"/>
          <w:szCs w:val="22"/>
        </w:rPr>
        <w:t xml:space="preserve">However, this technical shift is one of many good things that ARKOM and </w:t>
      </w:r>
      <w:proofErr w:type="spellStart"/>
      <w:r w:rsidRPr="008253E8">
        <w:rPr>
          <w:sz w:val="22"/>
          <w:szCs w:val="22"/>
        </w:rPr>
        <w:t>Kalij</w:t>
      </w:r>
      <w:r>
        <w:rPr>
          <w:sz w:val="22"/>
          <w:szCs w:val="22"/>
        </w:rPr>
        <w:t>awi</w:t>
      </w:r>
      <w:proofErr w:type="spellEnd"/>
      <w:r>
        <w:rPr>
          <w:sz w:val="22"/>
          <w:szCs w:val="22"/>
        </w:rPr>
        <w:t xml:space="preserve"> </w:t>
      </w:r>
      <w:r>
        <w:rPr>
          <w:noProof/>
        </w:rPr>
        <w:drawing>
          <wp:anchor distT="0" distB="0" distL="114300" distR="114300" simplePos="0" relativeHeight="251660288" behindDoc="0" locked="0" layoutInCell="1" allowOverlap="1" wp14:anchorId="33EC61DF" wp14:editId="2A8BDEEC">
            <wp:simplePos x="0" y="0"/>
            <wp:positionH relativeFrom="column">
              <wp:align>right</wp:align>
            </wp:positionH>
            <wp:positionV relativeFrom="paragraph">
              <wp:posOffset>558166</wp:posOffset>
            </wp:positionV>
            <wp:extent cx="2638425" cy="1424802"/>
            <wp:effectExtent l="0" t="0" r="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b="4367"/>
                    <a:stretch/>
                  </pic:blipFill>
                  <pic:spPr bwMode="auto">
                    <a:xfrm>
                      <a:off x="0" y="0"/>
                      <a:ext cx="2638425" cy="14248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2"/>
          <w:szCs w:val="22"/>
        </w:rPr>
        <w:t>experienced during this pan</w:t>
      </w:r>
      <w:r w:rsidRPr="008253E8">
        <w:rPr>
          <w:sz w:val="22"/>
          <w:szCs w:val="22"/>
        </w:rPr>
        <w:t>demic situation.</w:t>
      </w:r>
    </w:p>
    <w:p w14:paraId="05A32248" w14:textId="503E2BBC" w:rsidR="008253E8" w:rsidRDefault="008253E8" w:rsidP="008253E8">
      <w:pPr>
        <w:spacing w:line="240" w:lineRule="exact"/>
        <w:ind w:left="851" w:hanging="851"/>
        <w:jc w:val="center"/>
        <w:rPr>
          <w:rFonts w:ascii="Tinos" w:hAnsi="Tinos" w:cs="Tinos"/>
          <w:sz w:val="20"/>
        </w:rPr>
      </w:pPr>
      <w:r w:rsidRPr="002D189F">
        <w:rPr>
          <w:rFonts w:ascii="Tinos" w:hAnsi="Tinos" w:cs="Tinos"/>
          <w:sz w:val="20"/>
        </w:rPr>
        <w:t xml:space="preserve">Figure </w:t>
      </w:r>
      <w:r>
        <w:rPr>
          <w:rFonts w:ascii="Tinos" w:hAnsi="Tinos" w:cs="Tinos"/>
          <w:sz w:val="20"/>
        </w:rPr>
        <w:t>1</w:t>
      </w:r>
      <w:r w:rsidRPr="002D189F">
        <w:rPr>
          <w:rFonts w:ascii="Tinos" w:hAnsi="Tinos" w:cs="Tinos"/>
          <w:sz w:val="20"/>
        </w:rPr>
        <w:t>.</w:t>
      </w:r>
      <w:r>
        <w:rPr>
          <w:rFonts w:ascii="Tinos" w:hAnsi="Tinos" w:cs="Tinos"/>
          <w:sz w:val="20"/>
        </w:rPr>
        <w:tab/>
      </w:r>
      <w:proofErr w:type="spellStart"/>
      <w:r>
        <w:rPr>
          <w:rFonts w:ascii="Tinos" w:hAnsi="Tinos" w:cs="Tinos"/>
          <w:sz w:val="20"/>
        </w:rPr>
        <w:t>Maptionnaire</w:t>
      </w:r>
      <w:proofErr w:type="spellEnd"/>
      <w:r>
        <w:rPr>
          <w:rFonts w:ascii="Tinos" w:hAnsi="Tinos" w:cs="Tinos"/>
          <w:sz w:val="20"/>
        </w:rPr>
        <w:t xml:space="preserve"> View </w:t>
      </w:r>
    </w:p>
    <w:p w14:paraId="0332B76C" w14:textId="1755D990" w:rsidR="008253E8" w:rsidRDefault="008253E8" w:rsidP="008253E8">
      <w:pPr>
        <w:spacing w:line="240" w:lineRule="exact"/>
        <w:ind w:left="851" w:hanging="851"/>
        <w:jc w:val="center"/>
        <w:rPr>
          <w:rFonts w:ascii="Tinos" w:hAnsi="Tinos" w:cs="Tinos"/>
          <w:sz w:val="20"/>
        </w:rPr>
      </w:pPr>
      <w:r>
        <w:rPr>
          <w:rFonts w:ascii="Tinos" w:hAnsi="Tinos" w:cs="Tinos"/>
          <w:sz w:val="20"/>
        </w:rPr>
        <w:t xml:space="preserve">Source: </w:t>
      </w:r>
      <w:r>
        <w:rPr>
          <w:rFonts w:ascii="Tinos" w:hAnsi="Tinos" w:cs="Tinos"/>
          <w:sz w:val="20"/>
        </w:rPr>
        <w:fldChar w:fldCharType="begin" w:fldLock="1"/>
      </w:r>
      <w:r>
        <w:rPr>
          <w:rFonts w:ascii="Tinos" w:hAnsi="Tinos" w:cs="Tinos"/>
          <w:sz w:val="20"/>
        </w:rPr>
        <w:instrText>ADDIN CSL_CITATION {"citationItems":[{"id":"ITEM-1","itemData":{"author":[{"dropping-particle":"","family":"Arkom Indonesia","given":"","non-dropping-particle":"","parse-names":false,"suffix":""}],"id":"ITEM-1","issued":{"date-parts":[["2020"]]},"publisher-place":"Yogyakarta","title":"Masyarakat Miskin Kota Menghadapi COVID-19","type":"report"},"uris":["http://www.mendeley.com/documents/?uuid=a2e71f01-96f8-4446-aea7-7e9577fe7e3d"]}],"mendeley":{"formattedCitation":"(Arkom Indonesia, 2020b)","plainTextFormattedCitation":"(Arkom Indonesia, 2020b)","previouslyFormattedCitation":"(Arkom Indonesia, 2020b)"},"properties":{"noteIndex":0},"schema":"https://github.com/citation-style-language/schema/raw/master/csl-citation.json"}</w:instrText>
      </w:r>
      <w:r>
        <w:rPr>
          <w:rFonts w:ascii="Tinos" w:hAnsi="Tinos" w:cs="Tinos"/>
          <w:sz w:val="20"/>
        </w:rPr>
        <w:fldChar w:fldCharType="separate"/>
      </w:r>
      <w:r w:rsidRPr="00164289">
        <w:rPr>
          <w:rFonts w:ascii="Tinos" w:hAnsi="Tinos" w:cs="Tinos"/>
          <w:noProof/>
          <w:sz w:val="20"/>
        </w:rPr>
        <w:t>(Arkom Indonesia, 2020b)</w:t>
      </w:r>
      <w:r>
        <w:rPr>
          <w:rFonts w:ascii="Tinos" w:hAnsi="Tinos" w:cs="Tinos"/>
          <w:sz w:val="20"/>
        </w:rPr>
        <w:fldChar w:fldCharType="end"/>
      </w:r>
    </w:p>
    <w:p w14:paraId="53883178" w14:textId="77777777" w:rsidR="008253E8" w:rsidRPr="008253E8" w:rsidRDefault="008253E8" w:rsidP="008253E8">
      <w:pPr>
        <w:spacing w:line="240" w:lineRule="exact"/>
        <w:ind w:left="851" w:hanging="851"/>
        <w:jc w:val="center"/>
        <w:rPr>
          <w:rFonts w:ascii="Tinos" w:hAnsi="Tinos" w:cs="Tinos"/>
          <w:sz w:val="20"/>
        </w:rPr>
      </w:pPr>
    </w:p>
    <w:p w14:paraId="73F45B7B" w14:textId="77777777" w:rsidR="008253E8" w:rsidRPr="008253E8" w:rsidRDefault="008253E8" w:rsidP="008253E8">
      <w:pPr>
        <w:spacing w:line="240" w:lineRule="exact"/>
        <w:ind w:left="851" w:hanging="851"/>
        <w:rPr>
          <w:rFonts w:ascii="Tinos" w:hAnsi="Tinos" w:cs="Tinos"/>
          <w:b/>
          <w:sz w:val="22"/>
          <w:szCs w:val="22"/>
        </w:rPr>
      </w:pPr>
      <w:r w:rsidRPr="008253E8">
        <w:rPr>
          <w:rFonts w:ascii="Tinos" w:hAnsi="Tinos" w:cs="Tinos"/>
          <w:b/>
          <w:sz w:val="22"/>
          <w:szCs w:val="22"/>
        </w:rPr>
        <w:t>Organizational Dimensions</w:t>
      </w:r>
    </w:p>
    <w:p w14:paraId="00668528" w14:textId="77777777" w:rsidR="008253E8" w:rsidRPr="008253E8" w:rsidRDefault="008253E8" w:rsidP="008253E8">
      <w:pPr>
        <w:spacing w:line="240" w:lineRule="exact"/>
        <w:ind w:firstLine="426"/>
        <w:rPr>
          <w:rFonts w:ascii="Tinos" w:hAnsi="Tinos" w:cs="Tinos"/>
          <w:sz w:val="22"/>
          <w:szCs w:val="22"/>
        </w:rPr>
      </w:pPr>
      <w:proofErr w:type="spellStart"/>
      <w:r w:rsidRPr="008253E8">
        <w:rPr>
          <w:rFonts w:ascii="Tinos" w:hAnsi="Tinos" w:cs="Tinos"/>
          <w:sz w:val="22"/>
          <w:szCs w:val="22"/>
        </w:rPr>
        <w:t>Paguyuban</w:t>
      </w:r>
      <w:proofErr w:type="spellEnd"/>
      <w:r w:rsidRPr="008253E8">
        <w:rPr>
          <w:rFonts w:ascii="Tinos" w:hAnsi="Tinos" w:cs="Tinos"/>
          <w:sz w:val="22"/>
          <w:szCs w:val="22"/>
        </w:rPr>
        <w:t xml:space="preserve"> </w:t>
      </w:r>
      <w:proofErr w:type="spellStart"/>
      <w:r w:rsidRPr="008253E8">
        <w:rPr>
          <w:rFonts w:ascii="Tinos" w:hAnsi="Tinos" w:cs="Tinos"/>
          <w:sz w:val="22"/>
          <w:szCs w:val="22"/>
        </w:rPr>
        <w:t>Kalijawi</w:t>
      </w:r>
      <w:proofErr w:type="spellEnd"/>
      <w:r w:rsidRPr="008253E8">
        <w:rPr>
          <w:rFonts w:ascii="Tinos" w:hAnsi="Tinos" w:cs="Tinos"/>
          <w:sz w:val="22"/>
          <w:szCs w:val="22"/>
        </w:rPr>
        <w:t xml:space="preserve"> is a community-based organization that lives along the banks of the </w:t>
      </w:r>
      <w:proofErr w:type="spellStart"/>
      <w:r w:rsidRPr="008253E8">
        <w:rPr>
          <w:rFonts w:ascii="Tinos" w:hAnsi="Tinos" w:cs="Tinos"/>
          <w:sz w:val="22"/>
          <w:szCs w:val="22"/>
        </w:rPr>
        <w:t>Gajahwong</w:t>
      </w:r>
      <w:proofErr w:type="spellEnd"/>
      <w:r w:rsidRPr="008253E8">
        <w:rPr>
          <w:rFonts w:ascii="Tinos" w:hAnsi="Tinos" w:cs="Tinos"/>
          <w:sz w:val="22"/>
          <w:szCs w:val="22"/>
        </w:rPr>
        <w:t xml:space="preserve"> and </w:t>
      </w:r>
      <w:proofErr w:type="spellStart"/>
      <w:r w:rsidRPr="008253E8">
        <w:rPr>
          <w:rFonts w:ascii="Tinos" w:hAnsi="Tinos" w:cs="Tinos"/>
          <w:sz w:val="22"/>
          <w:szCs w:val="22"/>
        </w:rPr>
        <w:t>Winongo</w:t>
      </w:r>
      <w:proofErr w:type="spellEnd"/>
      <w:r w:rsidRPr="008253E8">
        <w:rPr>
          <w:rFonts w:ascii="Tinos" w:hAnsi="Tinos" w:cs="Tinos"/>
          <w:sz w:val="22"/>
          <w:szCs w:val="22"/>
        </w:rPr>
        <w:t xml:space="preserve"> rivers. This community consists mostly of women who form small groups, and each group consists of a maximum of ten people. The history behind </w:t>
      </w:r>
      <w:proofErr w:type="spellStart"/>
      <w:r w:rsidRPr="008253E8">
        <w:rPr>
          <w:rFonts w:ascii="Tinos" w:hAnsi="Tinos" w:cs="Tinos"/>
          <w:sz w:val="22"/>
          <w:szCs w:val="22"/>
        </w:rPr>
        <w:t>Kalijawi</w:t>
      </w:r>
      <w:proofErr w:type="spellEnd"/>
      <w:r w:rsidRPr="008253E8">
        <w:rPr>
          <w:rFonts w:ascii="Tinos" w:hAnsi="Tinos" w:cs="Tinos"/>
          <w:sz w:val="22"/>
          <w:szCs w:val="22"/>
        </w:rPr>
        <w:t xml:space="preserve"> is based on the similar problems they feel, such as; the legality of the land they build for settlements, poor sanitation and drainage, economic vulnerabilities, health, and environmental issues </w:t>
      </w:r>
      <w:r w:rsidRPr="008253E8">
        <w:rPr>
          <w:rFonts w:ascii="Tinos" w:hAnsi="Tinos" w:cs="Tinos"/>
          <w:sz w:val="22"/>
          <w:szCs w:val="22"/>
        </w:rPr>
        <w:fldChar w:fldCharType="begin" w:fldLock="1"/>
      </w:r>
      <w:r w:rsidRPr="008253E8">
        <w:rPr>
          <w:rFonts w:ascii="Tinos" w:hAnsi="Tinos" w:cs="Tinos"/>
          <w:sz w:val="22"/>
          <w:szCs w:val="22"/>
        </w:rPr>
        <w:instrText>ADDIN CSL_CITATION {"citationItems":[{"id":"ITEM-1","itemData":{"author":[{"dropping-particle":"","family":"Utama","given":"Yusak Senja","non-dropping-particle":"","parse-names":false,"suffix":""}],"container-title":"Seminar Nasional Kota Kratiff","id":"ITEM-1","issued":{"date-parts":[["2016"]]},"page":"105-115","title":"PEMBANGUNAN PERKOTAAN BERBASIS KOMUNITAS STUDI KASUS PAGUYUBAN KALIJAWI, YOGYAKARTA","type":"paper-conference"},"uris":["http://www.mendeley.com/documents/?uuid=5c6a22ea-0bea-46ab-9466-573bd4b1ba07"]}],"mendeley":{"formattedCitation":"(Utama, 2016)","plainTextFormattedCitation":"(Utama, 2016)","previouslyFormattedCitation":"(Utama, 2016)"},"properties":{"noteIndex":0},"schema":"https://github.com/citation-style-language/schema/raw/master/csl-citation.json"}</w:instrText>
      </w:r>
      <w:r w:rsidRPr="008253E8">
        <w:rPr>
          <w:rFonts w:ascii="Tinos" w:hAnsi="Tinos" w:cs="Tinos"/>
          <w:sz w:val="22"/>
          <w:szCs w:val="22"/>
        </w:rPr>
        <w:fldChar w:fldCharType="separate"/>
      </w:r>
      <w:r w:rsidRPr="008253E8">
        <w:rPr>
          <w:rFonts w:ascii="Tinos" w:hAnsi="Tinos" w:cs="Tinos"/>
          <w:noProof/>
          <w:sz w:val="22"/>
          <w:szCs w:val="22"/>
        </w:rPr>
        <w:t>(Utama, 2016)</w:t>
      </w:r>
      <w:r w:rsidRPr="008253E8">
        <w:rPr>
          <w:rFonts w:ascii="Tinos" w:hAnsi="Tinos" w:cs="Tinos"/>
          <w:sz w:val="22"/>
          <w:szCs w:val="22"/>
        </w:rPr>
        <w:fldChar w:fldCharType="end"/>
      </w:r>
      <w:r w:rsidRPr="008253E8">
        <w:rPr>
          <w:rFonts w:ascii="Tinos" w:hAnsi="Tinos" w:cs="Tinos"/>
          <w:sz w:val="22"/>
          <w:szCs w:val="22"/>
        </w:rPr>
        <w:t xml:space="preserve">. As a community-based organization, they have activities like saving, revolving funds, community mapping-planning-implementation, and regular group meetings. They also proposed their community planning result to their settlement to the Yogyakarta City Government in 2013 </w:t>
      </w:r>
      <w:r w:rsidRPr="008253E8">
        <w:rPr>
          <w:rFonts w:ascii="Tinos" w:hAnsi="Tinos" w:cs="Tinos"/>
          <w:sz w:val="22"/>
          <w:szCs w:val="22"/>
        </w:rPr>
        <w:fldChar w:fldCharType="begin" w:fldLock="1"/>
      </w:r>
      <w:r w:rsidRPr="008253E8">
        <w:rPr>
          <w:rFonts w:ascii="Tinos" w:hAnsi="Tinos" w:cs="Tinos"/>
          <w:sz w:val="22"/>
          <w:szCs w:val="22"/>
        </w:rPr>
        <w:instrText>ADDIN CSL_CITATION {"citationItems":[{"id":"ITEM-1","itemData":{"DOI":"10.31227/osf.io/rxg8f","author":[{"dropping-particle":"","family":"Iqbal","given":"Muhammad Nelza Mulki","non-dropping-particle":"","parse-names":false,"suffix":""}],"container-title":"International City Planning and Urban Design Conference","id":"ITEM-1","issued":{"date-parts":[["2017"]]},"publisher":"DAKAM","publisher-place":"Istanbul","title":"Diversity and Opportunity in a Good City Making, Learning from Informal Settlement in Yogyakarta-Indonesia","type":"paper-conference"},"uris":["http://www.mendeley.com/documents/?uuid=9dcc0316-7cdc-47d4-bf0a-911ba4847a2d"]}],"mendeley":{"formattedCitation":"(Iqbal, 2017)","plainTextFormattedCitation":"(Iqbal, 2017)","previouslyFormattedCitation":"(Iqbal, 2017)"},"properties":{"noteIndex":0},"schema":"https://github.com/citation-style-language/schema/raw/master/csl-citation.json"}</w:instrText>
      </w:r>
      <w:r w:rsidRPr="008253E8">
        <w:rPr>
          <w:rFonts w:ascii="Tinos" w:hAnsi="Tinos" w:cs="Tinos"/>
          <w:sz w:val="22"/>
          <w:szCs w:val="22"/>
        </w:rPr>
        <w:fldChar w:fldCharType="separate"/>
      </w:r>
      <w:r w:rsidRPr="008253E8">
        <w:rPr>
          <w:rFonts w:ascii="Tinos" w:hAnsi="Tinos" w:cs="Tinos"/>
          <w:noProof/>
          <w:sz w:val="22"/>
          <w:szCs w:val="22"/>
        </w:rPr>
        <w:t>(Iqbal, 2017)</w:t>
      </w:r>
      <w:r w:rsidRPr="008253E8">
        <w:rPr>
          <w:rFonts w:ascii="Tinos" w:hAnsi="Tinos" w:cs="Tinos"/>
          <w:sz w:val="22"/>
          <w:szCs w:val="22"/>
        </w:rPr>
        <w:fldChar w:fldCharType="end"/>
      </w:r>
      <w:r w:rsidRPr="008253E8">
        <w:rPr>
          <w:rFonts w:ascii="Tinos" w:hAnsi="Tinos" w:cs="Tinos"/>
          <w:sz w:val="22"/>
          <w:szCs w:val="22"/>
        </w:rPr>
        <w:t xml:space="preserve"> and continuously advocated efforts to the local government related to their conditions.   </w:t>
      </w:r>
    </w:p>
    <w:p w14:paraId="780F1297" w14:textId="77777777" w:rsidR="008253E8" w:rsidRPr="008253E8" w:rsidRDefault="008253E8" w:rsidP="008253E8">
      <w:pPr>
        <w:spacing w:line="240" w:lineRule="exact"/>
        <w:ind w:firstLine="426"/>
        <w:rPr>
          <w:rFonts w:ascii="Tinos" w:hAnsi="Tinos" w:cs="Tinos"/>
          <w:sz w:val="22"/>
          <w:szCs w:val="22"/>
        </w:rPr>
      </w:pPr>
      <w:r w:rsidRPr="008253E8">
        <w:rPr>
          <w:rFonts w:ascii="Tinos" w:hAnsi="Tinos" w:cs="Tinos"/>
          <w:sz w:val="22"/>
          <w:szCs w:val="22"/>
        </w:rPr>
        <w:t>Since 2019, communities have been working to establish a cooperative form, which was finally accomplished during the pandemic. The cooperative had a similar structure to the saving groups, but it was a legal entity that was open to the general public. The main challenge of this change was informing the community about the changes and new rules that becoming a cooperative entailed. At the moment, the cooperative has 25 groups of around 10-15 people, each of which goes through an education process aimed primarily at creating capacity.</w:t>
      </w:r>
    </w:p>
    <w:p w14:paraId="0B2DB7FB" w14:textId="77777777" w:rsidR="00940613" w:rsidRDefault="00940613" w:rsidP="00940613">
      <w:pPr>
        <w:spacing w:line="240" w:lineRule="exact"/>
        <w:ind w:firstLine="426"/>
        <w:rPr>
          <w:rFonts w:ascii="Tinos" w:hAnsi="Tinos" w:cs="Tinos"/>
          <w:sz w:val="22"/>
          <w:szCs w:val="22"/>
        </w:rPr>
      </w:pPr>
      <w:r w:rsidRPr="008253E8">
        <w:rPr>
          <w:rFonts w:ascii="Tinos" w:hAnsi="Tinos" w:cs="Tinos"/>
          <w:sz w:val="22"/>
          <w:szCs w:val="22"/>
        </w:rPr>
        <w:t xml:space="preserve">The main advantages of the cooperative are that they can save, get loans, get their basic needs met at a lower cost, and have </w:t>
      </w:r>
    </w:p>
    <w:p w14:paraId="3FEBFB3D" w14:textId="77777777" w:rsidR="00940613" w:rsidRDefault="00940613" w:rsidP="00940613">
      <w:pPr>
        <w:spacing w:line="240" w:lineRule="exact"/>
        <w:ind w:left="851" w:hanging="851"/>
        <w:jc w:val="center"/>
        <w:rPr>
          <w:rFonts w:ascii="Tinos" w:hAnsi="Tinos" w:cs="Tinos"/>
          <w:sz w:val="22"/>
          <w:szCs w:val="22"/>
        </w:rPr>
      </w:pPr>
    </w:p>
    <w:p w14:paraId="77A64134" w14:textId="20538A43" w:rsidR="00940613" w:rsidRPr="00940613" w:rsidRDefault="00940613" w:rsidP="00940613">
      <w:pPr>
        <w:spacing w:line="240" w:lineRule="exact"/>
        <w:ind w:left="851" w:hanging="851"/>
        <w:jc w:val="center"/>
        <w:rPr>
          <w:rFonts w:ascii="Tinos" w:hAnsi="Tinos" w:cs="Tinos"/>
          <w:sz w:val="20"/>
          <w:szCs w:val="22"/>
        </w:rPr>
      </w:pPr>
      <w:r w:rsidRPr="00940613">
        <w:rPr>
          <w:rFonts w:ascii="Tinos" w:hAnsi="Tinos" w:cs="Tinos"/>
          <w:sz w:val="20"/>
          <w:szCs w:val="22"/>
        </w:rPr>
        <w:t>Figure 2.</w:t>
      </w:r>
      <w:r w:rsidRPr="00940613">
        <w:rPr>
          <w:rFonts w:ascii="Tinos" w:hAnsi="Tinos" w:cs="Tinos"/>
          <w:sz w:val="20"/>
          <w:szCs w:val="22"/>
        </w:rPr>
        <w:tab/>
        <w:t xml:space="preserve">Communal Business Social Media Campaign </w:t>
      </w:r>
    </w:p>
    <w:p w14:paraId="40206253" w14:textId="77777777" w:rsidR="00940613" w:rsidRPr="00940613" w:rsidRDefault="00940613" w:rsidP="00940613">
      <w:pPr>
        <w:spacing w:line="240" w:lineRule="exact"/>
        <w:ind w:firstLine="426"/>
        <w:jc w:val="center"/>
        <w:rPr>
          <w:rFonts w:ascii="Tinos" w:hAnsi="Tinos" w:cs="Tinos"/>
          <w:sz w:val="20"/>
          <w:szCs w:val="22"/>
        </w:rPr>
      </w:pPr>
      <w:r w:rsidRPr="00940613">
        <w:rPr>
          <w:rFonts w:ascii="Tinos" w:hAnsi="Tinos" w:cs="Tinos"/>
          <w:sz w:val="20"/>
          <w:szCs w:val="22"/>
        </w:rPr>
        <w:t xml:space="preserve">Source: </w:t>
      </w:r>
      <w:r w:rsidRPr="00940613">
        <w:rPr>
          <w:rFonts w:ascii="Tinos" w:hAnsi="Tinos" w:cs="Tinos"/>
          <w:sz w:val="20"/>
          <w:szCs w:val="22"/>
        </w:rPr>
        <w:fldChar w:fldCharType="begin" w:fldLock="1"/>
      </w:r>
      <w:r w:rsidRPr="00940613">
        <w:rPr>
          <w:rFonts w:ascii="Tinos" w:hAnsi="Tinos" w:cs="Tinos"/>
          <w:sz w:val="20"/>
          <w:szCs w:val="22"/>
        </w:rPr>
        <w:instrText>ADDIN CSL_CITATION {"citationItems":[{"id":"ITEM-1","itemData":{"author":[{"dropping-particle":"","family":"Arkom Indonesia","given":"","non-dropping-particle":"","parse-names":false,"suffix":""}],"id":"ITEM-1","issued":{"date-parts":[["2020"]]},"publisher-place":"Yogyakarta","title":"Masyarakat Miskin Kota Menghadapi COVID-19","type":"report"},"uris":["http://www.mendeley.com/documents/?uuid=a2e71f01-96f8-4446-aea7-7e9577fe7e3d"]}],"mendeley":{"formattedCitation":"(Arkom Indonesia, 2020b)","manualFormatting":"(Kalijawi, 2020)","plainTextFormattedCitation":"(Arkom Indonesia, 2020b)","previouslyFormattedCitation":"(Arkom Indonesia, 2020b)"},"properties":{"noteIndex":0},"schema":"https://github.com/citation-style-language/schema/raw/master/csl-citation.json"}</w:instrText>
      </w:r>
      <w:r w:rsidRPr="00940613">
        <w:rPr>
          <w:rFonts w:ascii="Tinos" w:hAnsi="Tinos" w:cs="Tinos"/>
          <w:sz w:val="20"/>
          <w:szCs w:val="22"/>
        </w:rPr>
        <w:fldChar w:fldCharType="separate"/>
      </w:r>
      <w:r w:rsidRPr="00940613">
        <w:rPr>
          <w:rFonts w:ascii="Tinos" w:hAnsi="Tinos" w:cs="Tinos"/>
          <w:noProof/>
          <w:sz w:val="20"/>
          <w:szCs w:val="22"/>
        </w:rPr>
        <w:t>(Kalijawi, 2020)</w:t>
      </w:r>
      <w:r w:rsidRPr="00940613">
        <w:rPr>
          <w:rFonts w:ascii="Tinos" w:hAnsi="Tinos" w:cs="Tinos"/>
          <w:sz w:val="20"/>
          <w:szCs w:val="22"/>
        </w:rPr>
        <w:fldChar w:fldCharType="end"/>
      </w:r>
    </w:p>
    <w:p w14:paraId="607C813B" w14:textId="761777C8" w:rsidR="00940613" w:rsidRDefault="00940613" w:rsidP="00940613">
      <w:pPr>
        <w:spacing w:line="240" w:lineRule="exact"/>
        <w:rPr>
          <w:rFonts w:ascii="Tinos" w:hAnsi="Tinos" w:cs="Tinos"/>
          <w:sz w:val="22"/>
          <w:szCs w:val="22"/>
        </w:rPr>
      </w:pPr>
    </w:p>
    <w:p w14:paraId="4CC25F83" w14:textId="5F2D1B48" w:rsidR="00940613" w:rsidRPr="008253E8" w:rsidRDefault="00940613" w:rsidP="00940613">
      <w:pPr>
        <w:spacing w:line="240" w:lineRule="exact"/>
        <w:rPr>
          <w:rFonts w:ascii="Tinos" w:hAnsi="Tinos" w:cs="Tinos"/>
          <w:sz w:val="22"/>
          <w:szCs w:val="22"/>
        </w:rPr>
      </w:pPr>
      <w:r w:rsidRPr="008253E8">
        <w:rPr>
          <w:rFonts w:ascii="Tinos" w:hAnsi="Tinos" w:cs="Tinos"/>
          <w:sz w:val="22"/>
          <w:szCs w:val="22"/>
        </w:rPr>
        <w:t>another option for a living through the various community businesses that the cooperative establishes. It will also provide access to work with other cooperatives and government programs. The cooperative grants them legal status, which allows them to build trust with the government and gain access to housing programs in the future.</w:t>
      </w:r>
    </w:p>
    <w:p w14:paraId="57D6FC08" w14:textId="77777777" w:rsidR="00940613" w:rsidRPr="008253E8" w:rsidRDefault="00940613" w:rsidP="00940613">
      <w:pPr>
        <w:spacing w:line="240" w:lineRule="exact"/>
        <w:ind w:firstLine="426"/>
        <w:rPr>
          <w:rFonts w:ascii="Tinos" w:hAnsi="Tinos" w:cs="Tinos"/>
          <w:sz w:val="22"/>
          <w:szCs w:val="22"/>
        </w:rPr>
      </w:pPr>
      <w:r w:rsidRPr="008253E8">
        <w:rPr>
          <w:rFonts w:ascii="Tinos" w:hAnsi="Tinos" w:cs="Tinos"/>
          <w:sz w:val="22"/>
          <w:szCs w:val="22"/>
        </w:rPr>
        <w:t xml:space="preserve">By expanding the capacity of savings groups </w:t>
      </w:r>
      <w:r w:rsidRPr="008253E8">
        <w:rPr>
          <w:rFonts w:ascii="Tinos" w:hAnsi="Tinos" w:cs="Tinos"/>
          <w:sz w:val="22"/>
          <w:szCs w:val="22"/>
        </w:rPr>
        <w:fldChar w:fldCharType="begin" w:fldLock="1"/>
      </w:r>
      <w:r w:rsidRPr="008253E8">
        <w:rPr>
          <w:rFonts w:ascii="Tinos" w:hAnsi="Tinos" w:cs="Tinos"/>
          <w:sz w:val="22"/>
          <w:szCs w:val="22"/>
        </w:rPr>
        <w:instrText>ADDIN CSL_CITATION {"citationItems":[{"id":"ITEM-1","itemData":{"DOI":"10.1177/0956247811410011","ISSN":"17460301","abstract":"Disasters have tragic consequences, and people with the least resources at hand to rebuild their lives are often the worst affected. The traditional response to disasters is to provide immediate relief, without considering how the process of rebuilding lives and communities can be a positive opportunity for change. This opportunity can be facilitated in two ways: first, by having a clear understanding of how disaster survivors are not victims but agents for change; and second, by providing the tools and techniques to facilitate the change process. Case studies from Asia demonstrate how disaster-affected communities have rebuilt not only their homes but also their livelihoods, and have been empowered as a result. © 2011 International Institute for Environment and Development (IIED).","author":[{"dropping-particle":"","family":"Archer","given":"Diane","non-dropping-particle":"","parse-names":false,"suffix":""},{"dropping-particle":"","family":"Boonyabancha","given":"Somsook","non-dropping-particle":"","parse-names":false,"suffix":""}],"container-title":"Environment and Urbanization","id":"ITEM-1","issue":"2","issued":{"date-parts":[["2011"]]},"page":"351-364","title":"Seeing a disaster as an opportunity - harnessing the energy of disaster survivors for change","type":"article-journal","volume":"23"},"uris":["http://www.mendeley.com/documents/?uuid=cb0c85be-fc6e-4c4e-909b-aa37bd1c3079"]}],"mendeley":{"formattedCitation":"(Archer &amp; Boonyabancha, 2011)","plainTextFormattedCitation":"(Archer &amp; Boonyabancha, 2011)","previouslyFormattedCitation":"(Archer &amp; Boonyabancha, 2011)"},"properties":{"noteIndex":0},"schema":"https://github.com/citation-style-language/schema/raw/master/csl-citation.json"}</w:instrText>
      </w:r>
      <w:r w:rsidRPr="008253E8">
        <w:rPr>
          <w:rFonts w:ascii="Tinos" w:hAnsi="Tinos" w:cs="Tinos"/>
          <w:sz w:val="22"/>
          <w:szCs w:val="22"/>
        </w:rPr>
        <w:fldChar w:fldCharType="separate"/>
      </w:r>
      <w:r w:rsidRPr="008253E8">
        <w:rPr>
          <w:rFonts w:ascii="Tinos" w:hAnsi="Tinos" w:cs="Tinos"/>
          <w:noProof/>
          <w:sz w:val="22"/>
          <w:szCs w:val="22"/>
        </w:rPr>
        <w:t>(Archer &amp; Boonyabancha, 2011)</w:t>
      </w:r>
      <w:r w:rsidRPr="008253E8">
        <w:rPr>
          <w:rFonts w:ascii="Tinos" w:hAnsi="Tinos" w:cs="Tinos"/>
          <w:sz w:val="22"/>
          <w:szCs w:val="22"/>
        </w:rPr>
        <w:fldChar w:fldCharType="end"/>
      </w:r>
      <w:r w:rsidRPr="008253E8">
        <w:rPr>
          <w:rFonts w:ascii="Tinos" w:hAnsi="Tinos" w:cs="Tinos"/>
          <w:sz w:val="22"/>
          <w:szCs w:val="22"/>
        </w:rPr>
        <w:t>, this concept enables communities to develop large-scale actions to address their needs collaboratively and strengthens community cohesion by integrating disparate and divided urban poor groups. By allowing communities to run their own financial system, they gain a legal basis for advocating for and negotiating with the government.</w:t>
      </w:r>
    </w:p>
    <w:p w14:paraId="6D8F97C5" w14:textId="77777777" w:rsidR="00940613" w:rsidRPr="008253E8" w:rsidRDefault="00940613" w:rsidP="00940613">
      <w:pPr>
        <w:spacing w:line="240" w:lineRule="exact"/>
        <w:ind w:firstLine="426"/>
        <w:rPr>
          <w:rFonts w:ascii="Tinos" w:hAnsi="Tinos" w:cs="Tinos"/>
          <w:sz w:val="22"/>
          <w:szCs w:val="22"/>
        </w:rPr>
      </w:pPr>
      <w:r w:rsidRPr="008253E8">
        <w:rPr>
          <w:rFonts w:ascii="Tinos" w:hAnsi="Tinos" w:cs="Tinos"/>
          <w:sz w:val="22"/>
          <w:szCs w:val="22"/>
        </w:rPr>
        <w:t>One of the many upcoming agendas from cooperative form is the creation of the community business together. The main community businesses that the community has started during the pandemic are the reselling of basic goods at a lower price to cooperative members, urban farming (vegetables and fish), and ginger tea making. In order to sharpen its community business, they are not only connecting with other grassroots organizations across the country, but also launching product campaigns through the use of social media.</w:t>
      </w:r>
    </w:p>
    <w:p w14:paraId="3390BE96" w14:textId="2C33C55C" w:rsidR="00940613" w:rsidRPr="008253E8" w:rsidRDefault="00940613" w:rsidP="00940613">
      <w:pPr>
        <w:spacing w:line="240" w:lineRule="exact"/>
        <w:rPr>
          <w:rFonts w:ascii="Tinos" w:hAnsi="Tinos" w:cs="Tinos"/>
          <w:sz w:val="22"/>
          <w:szCs w:val="22"/>
        </w:rPr>
      </w:pPr>
    </w:p>
    <w:p w14:paraId="1E78B06F" w14:textId="5F477501" w:rsidR="008253E8" w:rsidRPr="008253E8" w:rsidRDefault="008253E8" w:rsidP="008253E8">
      <w:pPr>
        <w:spacing w:line="240" w:lineRule="exact"/>
        <w:ind w:firstLine="426"/>
        <w:jc w:val="center"/>
        <w:rPr>
          <w:rFonts w:ascii="Tinos" w:hAnsi="Tinos" w:cs="Tinos"/>
          <w:sz w:val="22"/>
          <w:szCs w:val="22"/>
        </w:rPr>
      </w:pPr>
    </w:p>
    <w:p w14:paraId="01551019" w14:textId="77777777" w:rsidR="008253E8" w:rsidRPr="008253E8" w:rsidRDefault="008253E8" w:rsidP="008253E8">
      <w:pPr>
        <w:spacing w:line="240" w:lineRule="exact"/>
        <w:rPr>
          <w:rFonts w:ascii="Tinos" w:hAnsi="Tinos" w:cs="Tinos"/>
          <w:b/>
          <w:sz w:val="22"/>
          <w:szCs w:val="22"/>
        </w:rPr>
      </w:pPr>
      <w:r w:rsidRPr="008253E8">
        <w:rPr>
          <w:rFonts w:ascii="Tinos" w:hAnsi="Tinos" w:cs="Tinos"/>
          <w:b/>
          <w:sz w:val="22"/>
          <w:szCs w:val="22"/>
        </w:rPr>
        <w:t>Social Dimensions</w:t>
      </w:r>
    </w:p>
    <w:p w14:paraId="375741E2" w14:textId="77777777" w:rsidR="008253E8" w:rsidRPr="008253E8" w:rsidRDefault="008253E8" w:rsidP="008253E8">
      <w:pPr>
        <w:spacing w:line="240" w:lineRule="exact"/>
        <w:ind w:firstLine="426"/>
        <w:rPr>
          <w:rFonts w:ascii="Tinos" w:hAnsi="Tinos" w:cs="Tinos"/>
          <w:sz w:val="22"/>
          <w:szCs w:val="22"/>
        </w:rPr>
      </w:pPr>
      <w:r w:rsidRPr="008253E8">
        <w:rPr>
          <w:rFonts w:ascii="Tinos" w:hAnsi="Tinos" w:cs="Tinos"/>
          <w:sz w:val="22"/>
          <w:szCs w:val="22"/>
        </w:rPr>
        <w:t xml:space="preserve">The </w:t>
      </w:r>
      <w:proofErr w:type="spellStart"/>
      <w:r w:rsidRPr="008253E8">
        <w:rPr>
          <w:rFonts w:ascii="Tinos" w:hAnsi="Tinos" w:cs="Tinos"/>
          <w:sz w:val="22"/>
          <w:szCs w:val="22"/>
        </w:rPr>
        <w:t>Kalijawi</w:t>
      </w:r>
      <w:proofErr w:type="spellEnd"/>
      <w:r w:rsidRPr="008253E8">
        <w:rPr>
          <w:rFonts w:ascii="Tinos" w:hAnsi="Tinos" w:cs="Tinos"/>
          <w:sz w:val="22"/>
          <w:szCs w:val="22"/>
        </w:rPr>
        <w:t xml:space="preserve"> Community and ARKOM were not established overnight. ARKOM has been working to strengthen Yogyakarta's informal settlement communities since 2009. ARKOM, as a member of the Asian </w:t>
      </w:r>
      <w:r w:rsidRPr="008253E8">
        <w:rPr>
          <w:rFonts w:ascii="Tinos" w:hAnsi="Tinos" w:cs="Tinos"/>
          <w:sz w:val="22"/>
          <w:szCs w:val="22"/>
        </w:rPr>
        <w:lastRenderedPageBreak/>
        <w:t>Coalition for Community Action (ACCA), which was founded by the Asian Coalition for Housing Rights (ACHR), assists communities in identifying and resolving problems. This process evolved through a series of survey processes, mapping, communal savings, planning, and workshops designed to demonstrate the reality that informal communities are not a problem and can be moved to build decent settlements with solid community collaboration (ACHR, 2014).</w:t>
      </w:r>
    </w:p>
    <w:p w14:paraId="29875ACA" w14:textId="77777777" w:rsidR="008253E8" w:rsidRPr="008253E8" w:rsidRDefault="008253E8" w:rsidP="008253E8">
      <w:pPr>
        <w:spacing w:line="240" w:lineRule="exact"/>
        <w:ind w:firstLine="426"/>
        <w:rPr>
          <w:rFonts w:ascii="Tinos" w:hAnsi="Tinos" w:cs="Tinos"/>
          <w:sz w:val="22"/>
          <w:szCs w:val="22"/>
        </w:rPr>
      </w:pPr>
      <w:r w:rsidRPr="008253E8">
        <w:rPr>
          <w:rFonts w:ascii="Tinos" w:hAnsi="Tinos" w:cs="Tinos"/>
          <w:sz w:val="22"/>
          <w:szCs w:val="22"/>
        </w:rPr>
        <w:t xml:space="preserve">Since then, ARKOM and </w:t>
      </w:r>
      <w:proofErr w:type="spellStart"/>
      <w:r w:rsidRPr="008253E8">
        <w:rPr>
          <w:rFonts w:ascii="Tinos" w:hAnsi="Tinos" w:cs="Tinos"/>
          <w:sz w:val="22"/>
          <w:szCs w:val="22"/>
        </w:rPr>
        <w:t>Kalijawi</w:t>
      </w:r>
      <w:proofErr w:type="spellEnd"/>
      <w:r w:rsidRPr="008253E8">
        <w:rPr>
          <w:rFonts w:ascii="Tinos" w:hAnsi="Tinos" w:cs="Tinos"/>
          <w:sz w:val="22"/>
          <w:szCs w:val="22"/>
        </w:rPr>
        <w:t xml:space="preserve"> have actively connected to other organization locally, nationally, and internationally. They have their own meeting mechanism with various scale of meetings that make the network solid and well connected. The networks outside organizations expand from universities, professional institution, and other NGO’s. It creates a fundamental effect especially to the knowledge and capacity development, bargaining power and negotiation, up to funding opportunities. </w:t>
      </w:r>
    </w:p>
    <w:p w14:paraId="01F6B69E" w14:textId="6BC6A2AD" w:rsidR="008253E8" w:rsidRPr="008253E8" w:rsidRDefault="008253E8" w:rsidP="00940613">
      <w:pPr>
        <w:spacing w:line="240" w:lineRule="exact"/>
        <w:ind w:firstLine="426"/>
        <w:rPr>
          <w:rFonts w:ascii="Tinos" w:hAnsi="Tinos" w:cs="Tinos"/>
          <w:sz w:val="22"/>
          <w:szCs w:val="22"/>
        </w:rPr>
      </w:pPr>
      <w:r w:rsidRPr="008253E8">
        <w:rPr>
          <w:rFonts w:ascii="Tinos" w:hAnsi="Tinos" w:cs="Tinos"/>
          <w:sz w:val="22"/>
          <w:szCs w:val="22"/>
        </w:rPr>
        <w:t xml:space="preserve">In the time of pandemic, the use of technology makes a different form of social connection. Even, it is a challenge to full fil the government health protocols, they are able to push their limitation by vastly adapting the technology. Previously they usually meet in a traditional setting physically, but at the moment they are used to utilize online platforms to discuss and collect the data. ARKOM also started their </w:t>
      </w:r>
      <w:proofErr w:type="spellStart"/>
      <w:r w:rsidRPr="008253E8">
        <w:rPr>
          <w:rFonts w:ascii="Tinos" w:hAnsi="Tinos" w:cs="Tinos"/>
          <w:sz w:val="22"/>
          <w:szCs w:val="22"/>
        </w:rPr>
        <w:t>Youtube</w:t>
      </w:r>
      <w:proofErr w:type="spellEnd"/>
      <w:r w:rsidRPr="008253E8">
        <w:rPr>
          <w:rFonts w:ascii="Tinos" w:hAnsi="Tinos" w:cs="Tinos"/>
          <w:sz w:val="22"/>
          <w:szCs w:val="22"/>
        </w:rPr>
        <w:t xml:space="preserve"> channel during this pandemic situation to document and share their movement, agenda, and knowledge to the public widely. Further, this situation also makes them able to expand their connection to other parties. For example, </w:t>
      </w:r>
      <w:proofErr w:type="spellStart"/>
      <w:r w:rsidRPr="008253E8">
        <w:rPr>
          <w:rFonts w:ascii="Tinos" w:hAnsi="Tinos" w:cs="Tinos"/>
          <w:sz w:val="22"/>
          <w:szCs w:val="22"/>
        </w:rPr>
        <w:t>Benih</w:t>
      </w:r>
      <w:proofErr w:type="spellEnd"/>
      <w:r w:rsidRPr="008253E8">
        <w:rPr>
          <w:rFonts w:ascii="Tinos" w:hAnsi="Tinos" w:cs="Tinos"/>
          <w:sz w:val="22"/>
          <w:szCs w:val="22"/>
        </w:rPr>
        <w:t xml:space="preserve"> </w:t>
      </w:r>
      <w:proofErr w:type="spellStart"/>
      <w:r w:rsidRPr="008253E8">
        <w:rPr>
          <w:rFonts w:ascii="Tinos" w:hAnsi="Tinos" w:cs="Tinos"/>
          <w:sz w:val="22"/>
          <w:szCs w:val="22"/>
        </w:rPr>
        <w:t>Baik</w:t>
      </w:r>
      <w:proofErr w:type="spellEnd"/>
      <w:r w:rsidRPr="008253E8">
        <w:rPr>
          <w:rFonts w:ascii="Tinos" w:hAnsi="Tinos" w:cs="Tinos"/>
          <w:sz w:val="22"/>
          <w:szCs w:val="22"/>
        </w:rPr>
        <w:t xml:space="preserve"> as a crowdfunding platform that help them to obtain a donation to help the communities at the beginning of pandemic.  Moreover, they also could have a series of discussion directly with the government official. It was something difficult to have a government official on a discussion table, but right now they are able to reach and discuss with them virtually. However, we still keep waiting how this connection could make an advanced improvement on the community agenda in the future.  </w:t>
      </w:r>
    </w:p>
    <w:p w14:paraId="09C4468F" w14:textId="0752D2FF" w:rsidR="008253E8" w:rsidRPr="008253E8" w:rsidRDefault="008253E8" w:rsidP="008253E8">
      <w:pPr>
        <w:spacing w:before="120" w:after="120"/>
        <w:rPr>
          <w:b/>
          <w:sz w:val="22"/>
          <w:szCs w:val="22"/>
        </w:rPr>
      </w:pPr>
      <w:r w:rsidRPr="008253E8">
        <w:rPr>
          <w:noProof/>
          <w:sz w:val="22"/>
          <w:szCs w:val="22"/>
        </w:rPr>
        <w:lastRenderedPageBreak/>
        <w:drawing>
          <wp:anchor distT="0" distB="0" distL="114300" distR="114300" simplePos="0" relativeHeight="251664384" behindDoc="0" locked="0" layoutInCell="1" allowOverlap="1" wp14:anchorId="1379338D" wp14:editId="46FAEEC0">
            <wp:simplePos x="0" y="0"/>
            <wp:positionH relativeFrom="margin">
              <wp:align>right</wp:align>
            </wp:positionH>
            <wp:positionV relativeFrom="paragraph">
              <wp:posOffset>243840</wp:posOffset>
            </wp:positionV>
            <wp:extent cx="2628900" cy="1847436"/>
            <wp:effectExtent l="0" t="0" r="0" b="635"/>
            <wp:wrapThrough wrapText="bothSides">
              <wp:wrapPolygon edited="0">
                <wp:start x="0" y="0"/>
                <wp:lineTo x="0" y="21385"/>
                <wp:lineTo x="21443" y="21385"/>
                <wp:lineTo x="21443"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28900" cy="1847436"/>
                    </a:xfrm>
                    <a:prstGeom prst="rect">
                      <a:avLst/>
                    </a:prstGeom>
                  </pic:spPr>
                </pic:pic>
              </a:graphicData>
            </a:graphic>
            <wp14:sizeRelH relativeFrom="page">
              <wp14:pctWidth>0</wp14:pctWidth>
            </wp14:sizeRelH>
            <wp14:sizeRelV relativeFrom="page">
              <wp14:pctHeight>0</wp14:pctHeight>
            </wp14:sizeRelV>
          </wp:anchor>
        </w:drawing>
      </w:r>
      <w:r w:rsidRPr="008253E8">
        <w:rPr>
          <w:b/>
          <w:sz w:val="22"/>
          <w:szCs w:val="22"/>
        </w:rPr>
        <w:t xml:space="preserve"> </w:t>
      </w:r>
    </w:p>
    <w:p w14:paraId="7CB49E84" w14:textId="77777777" w:rsidR="008253E8" w:rsidRPr="008253E8" w:rsidRDefault="008253E8" w:rsidP="008253E8">
      <w:pPr>
        <w:spacing w:line="240" w:lineRule="exact"/>
        <w:ind w:left="851" w:hanging="851"/>
        <w:jc w:val="center"/>
        <w:rPr>
          <w:rFonts w:ascii="Tinos" w:hAnsi="Tinos" w:cs="Tinos"/>
          <w:sz w:val="22"/>
          <w:szCs w:val="22"/>
        </w:rPr>
      </w:pPr>
      <w:r w:rsidRPr="008253E8">
        <w:rPr>
          <w:rFonts w:ascii="Tinos" w:hAnsi="Tinos" w:cs="Tinos"/>
          <w:sz w:val="22"/>
          <w:szCs w:val="22"/>
        </w:rPr>
        <w:t>Figure 3.</w:t>
      </w:r>
      <w:r w:rsidRPr="008253E8">
        <w:rPr>
          <w:rFonts w:ascii="Tinos" w:hAnsi="Tinos" w:cs="Tinos"/>
          <w:sz w:val="22"/>
          <w:szCs w:val="22"/>
        </w:rPr>
        <w:tab/>
        <w:t xml:space="preserve">One of Webinar </w:t>
      </w:r>
      <w:proofErr w:type="spellStart"/>
      <w:r w:rsidRPr="008253E8">
        <w:rPr>
          <w:rFonts w:ascii="Tinos" w:hAnsi="Tinos" w:cs="Tinos"/>
          <w:sz w:val="22"/>
          <w:szCs w:val="22"/>
        </w:rPr>
        <w:t>Arkom’s</w:t>
      </w:r>
      <w:proofErr w:type="spellEnd"/>
      <w:r w:rsidRPr="008253E8">
        <w:rPr>
          <w:rFonts w:ascii="Tinos" w:hAnsi="Tinos" w:cs="Tinos"/>
          <w:sz w:val="22"/>
          <w:szCs w:val="22"/>
        </w:rPr>
        <w:t xml:space="preserve"> Webinar Series</w:t>
      </w:r>
    </w:p>
    <w:p w14:paraId="1F9497E9" w14:textId="383231C1" w:rsidR="008253E8" w:rsidRPr="008253E8" w:rsidRDefault="008253E8" w:rsidP="008253E8">
      <w:pPr>
        <w:spacing w:before="120" w:after="120"/>
        <w:jc w:val="center"/>
        <w:rPr>
          <w:b/>
          <w:sz w:val="22"/>
          <w:szCs w:val="22"/>
        </w:rPr>
      </w:pPr>
      <w:r w:rsidRPr="008253E8">
        <w:rPr>
          <w:rFonts w:ascii="Tinos" w:hAnsi="Tinos" w:cs="Tinos"/>
          <w:sz w:val="22"/>
          <w:szCs w:val="22"/>
        </w:rPr>
        <w:t xml:space="preserve">Source: </w:t>
      </w:r>
      <w:r w:rsidRPr="008253E8">
        <w:rPr>
          <w:rFonts w:ascii="Tinos" w:hAnsi="Tinos" w:cs="Tinos"/>
          <w:sz w:val="22"/>
          <w:szCs w:val="22"/>
        </w:rPr>
        <w:fldChar w:fldCharType="begin" w:fldLock="1"/>
      </w:r>
      <w:r w:rsidRPr="008253E8">
        <w:rPr>
          <w:rFonts w:ascii="Tinos" w:hAnsi="Tinos" w:cs="Tinos"/>
          <w:sz w:val="22"/>
          <w:szCs w:val="22"/>
        </w:rPr>
        <w:instrText>ADDIN CSL_CITATION {"citationItems":[{"id":"ITEM-1","itemData":{"author":[{"dropping-particle":"","family":"Arkom Indonesia","given":"","non-dropping-particle":"","parse-names":false,"suffix":""}],"id":"ITEM-1","issued":{"date-parts":[["2020"]]},"publisher-place":"Yogyakarta","title":"Masyarakat Miskin Kota Menghadapi COVID-19","type":"report"},"uris":["http://www.mendeley.com/documents/?uuid=a2e71f01-96f8-4446-aea7-7e9577fe7e3d"]}],"mendeley":{"formattedCitation":"(Arkom Indonesia, 2020b)","manualFormatting":"(Arkom Indonesia, 2020)","plainTextFormattedCitation":"(Arkom Indonesia, 2020b)","previouslyFormattedCitation":"(Arkom Indonesia, 2020b)"},"properties":{"noteIndex":0},"schema":"https://github.com/citation-style-language/schema/raw/master/csl-citation.json"}</w:instrText>
      </w:r>
      <w:r w:rsidRPr="008253E8">
        <w:rPr>
          <w:rFonts w:ascii="Tinos" w:hAnsi="Tinos" w:cs="Tinos"/>
          <w:sz w:val="22"/>
          <w:szCs w:val="22"/>
        </w:rPr>
        <w:fldChar w:fldCharType="separate"/>
      </w:r>
      <w:r w:rsidRPr="008253E8">
        <w:rPr>
          <w:rFonts w:ascii="Tinos" w:hAnsi="Tinos" w:cs="Tinos"/>
          <w:noProof/>
          <w:sz w:val="22"/>
          <w:szCs w:val="22"/>
        </w:rPr>
        <w:t>(Arkom Indonesia, 2020)</w:t>
      </w:r>
      <w:r w:rsidRPr="008253E8">
        <w:rPr>
          <w:rFonts w:ascii="Tinos" w:hAnsi="Tinos" w:cs="Tinos"/>
          <w:sz w:val="22"/>
          <w:szCs w:val="22"/>
        </w:rPr>
        <w:fldChar w:fldCharType="end"/>
      </w:r>
    </w:p>
    <w:p w14:paraId="5E0ADB9A" w14:textId="77777777" w:rsidR="00D42481" w:rsidRDefault="00D42481" w:rsidP="008253E8">
      <w:pPr>
        <w:spacing w:line="240" w:lineRule="exact"/>
        <w:rPr>
          <w:rFonts w:ascii="Tinos" w:hAnsi="Tinos" w:cs="Tinos"/>
          <w:b/>
          <w:sz w:val="22"/>
          <w:szCs w:val="22"/>
        </w:rPr>
      </w:pPr>
    </w:p>
    <w:p w14:paraId="4D366FF9" w14:textId="3BFC6DBE" w:rsidR="008253E8" w:rsidRPr="008253E8" w:rsidRDefault="008253E8" w:rsidP="008253E8">
      <w:pPr>
        <w:spacing w:line="240" w:lineRule="exact"/>
        <w:rPr>
          <w:rFonts w:ascii="Tinos" w:hAnsi="Tinos" w:cs="Tinos"/>
          <w:b/>
          <w:sz w:val="22"/>
          <w:szCs w:val="22"/>
        </w:rPr>
      </w:pPr>
      <w:r w:rsidRPr="008253E8">
        <w:rPr>
          <w:rFonts w:ascii="Tinos" w:hAnsi="Tinos" w:cs="Tinos"/>
          <w:b/>
          <w:sz w:val="22"/>
          <w:szCs w:val="22"/>
        </w:rPr>
        <w:t>Strategic Dimensions</w:t>
      </w:r>
    </w:p>
    <w:p w14:paraId="3C728F81" w14:textId="2982078E" w:rsidR="008253E8" w:rsidRDefault="008253E8" w:rsidP="008253E8">
      <w:pPr>
        <w:spacing w:line="261" w:lineRule="exact"/>
        <w:ind w:firstLine="340"/>
        <w:contextualSpacing/>
        <w:rPr>
          <w:rFonts w:ascii="Tinos" w:hAnsi="Tinos" w:cs="Tinos"/>
          <w:sz w:val="22"/>
          <w:szCs w:val="22"/>
        </w:rPr>
      </w:pPr>
      <w:r w:rsidRPr="008253E8">
        <w:rPr>
          <w:rFonts w:ascii="Tinos" w:hAnsi="Tinos" w:cs="Tinos"/>
          <w:sz w:val="22"/>
          <w:szCs w:val="22"/>
        </w:rPr>
        <w:t xml:space="preserve">Being aware of the community's capacities and vulnerabilities aids in shaping the space where action is required. At the height of the pandemic, ARKOM, with the assistance of its CBOs and the community, declared a state of emergency, estimating that the pandemic would last until 2021 or more. While physical spaces for face-to-face activities are becoming more limited as a result of COVID-19, ARKOM and </w:t>
      </w:r>
      <w:proofErr w:type="spellStart"/>
      <w:r w:rsidRPr="008253E8">
        <w:rPr>
          <w:rFonts w:ascii="Tinos" w:hAnsi="Tinos" w:cs="Tinos"/>
          <w:sz w:val="22"/>
          <w:szCs w:val="22"/>
        </w:rPr>
        <w:t>Kalijawi</w:t>
      </w:r>
      <w:proofErr w:type="spellEnd"/>
      <w:r w:rsidRPr="008253E8">
        <w:rPr>
          <w:rFonts w:ascii="Tinos" w:hAnsi="Tinos" w:cs="Tinos"/>
          <w:sz w:val="22"/>
          <w:szCs w:val="22"/>
        </w:rPr>
        <w:t xml:space="preserve"> are utilizing digital spaces (online) as new spaces for discussion. They used online discussions and surveys, for example, to identify urgent community needs. The emergency response plan was divided into three sections: emergency, mitigation, and advocacy. During pandemic, they are also attempting to connect with local power structures by participating in local officials into series of online webinars. Their strategic response plan is divided into three parts: short-term, medium-term, and long-term actions.</w:t>
      </w:r>
    </w:p>
    <w:p w14:paraId="7C6893B2" w14:textId="4B9FAD34" w:rsidR="008253E8" w:rsidRDefault="008253E8" w:rsidP="008253E8">
      <w:pPr>
        <w:spacing w:line="261" w:lineRule="exact"/>
        <w:ind w:firstLine="340"/>
        <w:contextualSpacing/>
        <w:rPr>
          <w:rFonts w:ascii="Tinos" w:hAnsi="Tinos" w:cs="Tinos"/>
          <w:sz w:val="22"/>
          <w:szCs w:val="22"/>
        </w:rPr>
      </w:pPr>
    </w:p>
    <w:p w14:paraId="47C4824D" w14:textId="4E8C136E" w:rsidR="008253E8" w:rsidRDefault="008253E8" w:rsidP="008253E8">
      <w:pPr>
        <w:spacing w:line="261" w:lineRule="exact"/>
        <w:ind w:firstLine="340"/>
        <w:contextualSpacing/>
        <w:rPr>
          <w:rFonts w:ascii="Tinos" w:hAnsi="Tinos" w:cs="Tinos"/>
          <w:sz w:val="22"/>
          <w:szCs w:val="22"/>
        </w:rPr>
      </w:pPr>
    </w:p>
    <w:p w14:paraId="6ED23D8C" w14:textId="77777777" w:rsidR="008253E8" w:rsidRPr="008253E8" w:rsidRDefault="008253E8" w:rsidP="008253E8">
      <w:pPr>
        <w:spacing w:line="261" w:lineRule="exact"/>
        <w:ind w:firstLine="340"/>
        <w:contextualSpacing/>
        <w:rPr>
          <w:rFonts w:ascii="Tinos" w:hAnsi="Tinos" w:cs="Tinos"/>
          <w:sz w:val="22"/>
          <w:szCs w:val="22"/>
        </w:rPr>
      </w:pPr>
    </w:p>
    <w:p w14:paraId="31352341" w14:textId="00D847A5" w:rsidR="008253E8" w:rsidRPr="008253E8" w:rsidRDefault="008253E8" w:rsidP="008253E8">
      <w:pPr>
        <w:spacing w:before="120" w:after="120"/>
        <w:rPr>
          <w:sz w:val="22"/>
          <w:szCs w:val="22"/>
        </w:rPr>
      </w:pPr>
      <w:r w:rsidRPr="008253E8">
        <w:rPr>
          <w:noProof/>
          <w:sz w:val="22"/>
          <w:szCs w:val="22"/>
        </w:rPr>
        <w:lastRenderedPageBreak/>
        <w:drawing>
          <wp:anchor distT="0" distB="0" distL="114300" distR="114300" simplePos="0" relativeHeight="251666432" behindDoc="0" locked="0" layoutInCell="1" allowOverlap="1" wp14:anchorId="030A0DE5" wp14:editId="0CC0E571">
            <wp:simplePos x="0" y="0"/>
            <wp:positionH relativeFrom="column">
              <wp:align>right</wp:align>
            </wp:positionH>
            <wp:positionV relativeFrom="paragraph">
              <wp:posOffset>200025</wp:posOffset>
            </wp:positionV>
            <wp:extent cx="2638425" cy="1103175"/>
            <wp:effectExtent l="0" t="0" r="0" b="19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7005" t="30037" r="26630" b="20814"/>
                    <a:stretch/>
                  </pic:blipFill>
                  <pic:spPr bwMode="auto">
                    <a:xfrm>
                      <a:off x="0" y="0"/>
                      <a:ext cx="2638425" cy="1103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E73957" w14:textId="77777777" w:rsidR="008253E8" w:rsidRPr="008253E8" w:rsidRDefault="008253E8" w:rsidP="008253E8">
      <w:pPr>
        <w:spacing w:line="240" w:lineRule="exact"/>
        <w:ind w:left="851" w:hanging="851"/>
        <w:jc w:val="center"/>
        <w:rPr>
          <w:rFonts w:ascii="Tinos" w:hAnsi="Tinos" w:cs="Tinos"/>
          <w:sz w:val="22"/>
          <w:szCs w:val="22"/>
        </w:rPr>
      </w:pPr>
      <w:r w:rsidRPr="008253E8">
        <w:rPr>
          <w:rFonts w:ascii="Tinos" w:hAnsi="Tinos" w:cs="Tinos"/>
          <w:sz w:val="22"/>
          <w:szCs w:val="22"/>
        </w:rPr>
        <w:t>Figure 4.</w:t>
      </w:r>
      <w:r w:rsidRPr="008253E8">
        <w:rPr>
          <w:rFonts w:ascii="Tinos" w:hAnsi="Tinos" w:cs="Tinos"/>
          <w:sz w:val="22"/>
          <w:szCs w:val="22"/>
        </w:rPr>
        <w:tab/>
      </w:r>
      <w:proofErr w:type="spellStart"/>
      <w:r w:rsidRPr="008253E8">
        <w:rPr>
          <w:rFonts w:ascii="Tinos" w:hAnsi="Tinos" w:cs="Tinos"/>
          <w:sz w:val="22"/>
          <w:szCs w:val="22"/>
        </w:rPr>
        <w:t>Arkom’s</w:t>
      </w:r>
      <w:proofErr w:type="spellEnd"/>
      <w:r w:rsidRPr="008253E8">
        <w:rPr>
          <w:rFonts w:ascii="Tinos" w:hAnsi="Tinos" w:cs="Tinos"/>
          <w:sz w:val="22"/>
          <w:szCs w:val="22"/>
        </w:rPr>
        <w:t xml:space="preserve"> Pandemic Responses</w:t>
      </w:r>
    </w:p>
    <w:p w14:paraId="1EF138C5" w14:textId="175AC3E7" w:rsidR="008253E8" w:rsidRPr="008253E8" w:rsidRDefault="008253E8" w:rsidP="008253E8">
      <w:pPr>
        <w:spacing w:line="240" w:lineRule="exact"/>
        <w:ind w:left="851" w:hanging="851"/>
        <w:jc w:val="center"/>
        <w:rPr>
          <w:rFonts w:ascii="Tinos" w:hAnsi="Tinos" w:cs="Tinos"/>
          <w:sz w:val="22"/>
          <w:szCs w:val="22"/>
        </w:rPr>
      </w:pPr>
      <w:r w:rsidRPr="008253E8">
        <w:rPr>
          <w:rFonts w:ascii="Tinos" w:hAnsi="Tinos" w:cs="Tinos"/>
          <w:sz w:val="22"/>
          <w:szCs w:val="22"/>
        </w:rPr>
        <w:t xml:space="preserve">Source: </w:t>
      </w:r>
      <w:r w:rsidRPr="008253E8">
        <w:rPr>
          <w:rFonts w:ascii="Tinos" w:hAnsi="Tinos" w:cs="Tinos"/>
          <w:sz w:val="22"/>
          <w:szCs w:val="22"/>
        </w:rPr>
        <w:fldChar w:fldCharType="begin" w:fldLock="1"/>
      </w:r>
      <w:r w:rsidRPr="008253E8">
        <w:rPr>
          <w:rFonts w:ascii="Tinos" w:hAnsi="Tinos" w:cs="Tinos"/>
          <w:sz w:val="22"/>
          <w:szCs w:val="22"/>
        </w:rPr>
        <w:instrText>ADDIN CSL_CITATION {"citationItems":[{"id":"ITEM-1","itemData":{"author":[{"dropping-particle":"","family":"Arkom Indonesia","given":"","non-dropping-particle":"","parse-names":false,"suffix":""}],"id":"ITEM-1","issued":{"date-parts":[["2020"]]},"publisher-place":"Yogyakarta","title":"Masyarakat Miskin Kota Menghadapi COVID-19","type":"report"},"uris":["http://www.mendeley.com/documents/?uuid=a2e71f01-96f8-4446-aea7-7e9577fe7e3d"]}],"mendeley":{"formattedCitation":"(Arkom Indonesia, 2020b)","manualFormatting":"(Arkom Indonesia, 2020)","plainTextFormattedCitation":"(Arkom Indonesia, 2020b)","previouslyFormattedCitation":"(Arkom Indonesia, 2020b)"},"properties":{"noteIndex":0},"schema":"https://github.com/citation-style-language/schema/raw/master/csl-citation.json"}</w:instrText>
      </w:r>
      <w:r w:rsidRPr="008253E8">
        <w:rPr>
          <w:rFonts w:ascii="Tinos" w:hAnsi="Tinos" w:cs="Tinos"/>
          <w:sz w:val="22"/>
          <w:szCs w:val="22"/>
        </w:rPr>
        <w:fldChar w:fldCharType="separate"/>
      </w:r>
      <w:r w:rsidRPr="008253E8">
        <w:rPr>
          <w:rFonts w:ascii="Tinos" w:hAnsi="Tinos" w:cs="Tinos"/>
          <w:noProof/>
          <w:sz w:val="22"/>
          <w:szCs w:val="22"/>
        </w:rPr>
        <w:t>(Arkom Indonesia, 2020)</w:t>
      </w:r>
      <w:r w:rsidRPr="008253E8">
        <w:rPr>
          <w:rFonts w:ascii="Tinos" w:hAnsi="Tinos" w:cs="Tinos"/>
          <w:sz w:val="22"/>
          <w:szCs w:val="22"/>
        </w:rPr>
        <w:fldChar w:fldCharType="end"/>
      </w:r>
    </w:p>
    <w:p w14:paraId="101A3E33" w14:textId="77777777" w:rsidR="008253E8" w:rsidRPr="008253E8" w:rsidRDefault="008253E8" w:rsidP="008253E8">
      <w:pPr>
        <w:spacing w:line="240" w:lineRule="exact"/>
        <w:ind w:left="851" w:hanging="851"/>
        <w:jc w:val="center"/>
        <w:rPr>
          <w:rFonts w:ascii="Tinos" w:hAnsi="Tinos" w:cs="Tinos"/>
          <w:sz w:val="22"/>
          <w:szCs w:val="22"/>
        </w:rPr>
      </w:pPr>
    </w:p>
    <w:p w14:paraId="6656492B" w14:textId="3C5906DB" w:rsidR="008253E8" w:rsidRPr="008253E8" w:rsidRDefault="008253E8" w:rsidP="008253E8">
      <w:pPr>
        <w:spacing w:line="261" w:lineRule="exact"/>
        <w:ind w:firstLine="340"/>
        <w:contextualSpacing/>
        <w:rPr>
          <w:rFonts w:ascii="Tinos" w:hAnsi="Tinos" w:cs="Tinos"/>
          <w:sz w:val="22"/>
          <w:szCs w:val="22"/>
        </w:rPr>
      </w:pPr>
      <w:r w:rsidRPr="008253E8">
        <w:rPr>
          <w:rFonts w:ascii="Tinos" w:hAnsi="Tinos" w:cs="Tinos"/>
          <w:sz w:val="22"/>
          <w:szCs w:val="22"/>
        </w:rPr>
        <w:t>During the emergency response and rising awar</w:t>
      </w:r>
      <w:r w:rsidR="0035774D">
        <w:rPr>
          <w:rFonts w:ascii="Tinos" w:hAnsi="Tinos" w:cs="Tinos"/>
          <w:sz w:val="22"/>
          <w:szCs w:val="22"/>
        </w:rPr>
        <w:t>e</w:t>
      </w:r>
      <w:r w:rsidRPr="008253E8">
        <w:rPr>
          <w:rFonts w:ascii="Tinos" w:hAnsi="Tinos" w:cs="Tinos"/>
          <w:sz w:val="22"/>
          <w:szCs w:val="22"/>
        </w:rPr>
        <w:t xml:space="preserve">ness phase, the primary goals were to meet basic needs, assess the community, and initiate early livelihoods. In terms of assessment, ARKOM and its CBOs created an online mapping survey by collecting data online through the </w:t>
      </w:r>
      <w:proofErr w:type="spellStart"/>
      <w:r w:rsidRPr="008253E8">
        <w:rPr>
          <w:rFonts w:ascii="Tinos" w:hAnsi="Tinos" w:cs="Tinos"/>
          <w:sz w:val="22"/>
          <w:szCs w:val="22"/>
        </w:rPr>
        <w:t>Maptionnaire</w:t>
      </w:r>
      <w:proofErr w:type="spellEnd"/>
      <w:r w:rsidRPr="008253E8">
        <w:rPr>
          <w:rFonts w:ascii="Tinos" w:hAnsi="Tinos" w:cs="Tinos"/>
          <w:sz w:val="22"/>
          <w:szCs w:val="22"/>
        </w:rPr>
        <w:t xml:space="preserve"> platform. The survey tools were distributed through </w:t>
      </w:r>
      <w:proofErr w:type="spellStart"/>
      <w:r w:rsidRPr="008253E8">
        <w:rPr>
          <w:rFonts w:ascii="Tinos" w:hAnsi="Tinos" w:cs="Tinos"/>
          <w:sz w:val="22"/>
          <w:szCs w:val="22"/>
        </w:rPr>
        <w:t>Whatsapp</w:t>
      </w:r>
      <w:proofErr w:type="spellEnd"/>
      <w:r w:rsidRPr="008253E8">
        <w:rPr>
          <w:rFonts w:ascii="Tinos" w:hAnsi="Tinos" w:cs="Tinos"/>
          <w:sz w:val="22"/>
          <w:szCs w:val="22"/>
        </w:rPr>
        <w:t xml:space="preserve"> groups with the </w:t>
      </w:r>
      <w:proofErr w:type="spellStart"/>
      <w:r w:rsidRPr="008253E8">
        <w:rPr>
          <w:rFonts w:ascii="Tinos" w:hAnsi="Tinos" w:cs="Tinos"/>
          <w:sz w:val="22"/>
          <w:szCs w:val="22"/>
        </w:rPr>
        <w:t>Kalijawi</w:t>
      </w:r>
      <w:proofErr w:type="spellEnd"/>
      <w:r w:rsidRPr="008253E8">
        <w:rPr>
          <w:rFonts w:ascii="Tinos" w:hAnsi="Tinos" w:cs="Tinos"/>
          <w:sz w:val="22"/>
          <w:szCs w:val="22"/>
        </w:rPr>
        <w:t xml:space="preserve"> and other communities. Over 200 families took part in the survey and data collection process. The survey reveals critical information for future strategies, such as the number of informal workers, housing conditions, access to services such as water and sanitation, physical distance, and job loss, among other things.</w:t>
      </w:r>
    </w:p>
    <w:p w14:paraId="1741DC3A" w14:textId="77777777" w:rsidR="008253E8" w:rsidRPr="008253E8" w:rsidRDefault="008253E8" w:rsidP="008253E8">
      <w:pPr>
        <w:spacing w:line="261" w:lineRule="exact"/>
        <w:ind w:firstLine="340"/>
        <w:contextualSpacing/>
        <w:rPr>
          <w:rFonts w:ascii="Tinos" w:hAnsi="Tinos" w:cs="Tinos"/>
          <w:sz w:val="22"/>
          <w:szCs w:val="22"/>
        </w:rPr>
      </w:pPr>
      <w:r w:rsidRPr="008253E8">
        <w:rPr>
          <w:rFonts w:ascii="Tinos" w:hAnsi="Tinos" w:cs="Tinos"/>
          <w:sz w:val="22"/>
          <w:szCs w:val="22"/>
        </w:rPr>
        <w:t xml:space="preserve">Arkom and the community took several actions in a systematic and planned manner. The first was to concentrate on understanding the community's risks and opportunities. They created an online mapping survey with the help of Development Planning Unit (DPU), University College London to collect data on health risks, age, physical distancing and hygiene, main skills, and income loss. With this information, various alternatives to physical distance were taken collectively, with the installation of hygiene areas around the </w:t>
      </w:r>
      <w:proofErr w:type="spellStart"/>
      <w:r w:rsidRPr="008253E8">
        <w:rPr>
          <w:rFonts w:ascii="Tinos" w:hAnsi="Tinos" w:cs="Tinos"/>
          <w:sz w:val="22"/>
          <w:szCs w:val="22"/>
        </w:rPr>
        <w:t>Kampungs</w:t>
      </w:r>
      <w:proofErr w:type="spellEnd"/>
      <w:r w:rsidRPr="008253E8">
        <w:rPr>
          <w:rFonts w:ascii="Tinos" w:hAnsi="Tinos" w:cs="Tinos"/>
          <w:sz w:val="22"/>
          <w:szCs w:val="22"/>
        </w:rPr>
        <w:t xml:space="preserve"> being the most important thing to do, as well as delivering staples to those in need.</w:t>
      </w:r>
    </w:p>
    <w:p w14:paraId="130EBCBF" w14:textId="4973DC47" w:rsidR="008253E8" w:rsidRPr="008253E8" w:rsidRDefault="008253E8" w:rsidP="008253E8">
      <w:pPr>
        <w:spacing w:line="261" w:lineRule="exact"/>
        <w:ind w:firstLine="340"/>
        <w:contextualSpacing/>
        <w:rPr>
          <w:rFonts w:ascii="Tinos" w:hAnsi="Tinos" w:cs="Tinos"/>
          <w:sz w:val="22"/>
          <w:szCs w:val="22"/>
        </w:rPr>
      </w:pPr>
      <w:r w:rsidRPr="008253E8">
        <w:rPr>
          <w:rFonts w:ascii="Tinos" w:hAnsi="Tinos" w:cs="Tinos"/>
          <w:sz w:val="22"/>
          <w:szCs w:val="22"/>
        </w:rPr>
        <w:t xml:space="preserve">This strategy is critical for moving forward, especially in a pandemic situation. ARKOM and its community presented a context-based strategy that involves the community in their actions. As a result, it may be possible to reduce the impact of a pandemic, particularly in terms of economic </w:t>
      </w:r>
      <w:r w:rsidRPr="008253E8">
        <w:rPr>
          <w:rFonts w:ascii="Tinos" w:hAnsi="Tinos" w:cs="Tinos"/>
          <w:sz w:val="22"/>
          <w:szCs w:val="22"/>
        </w:rPr>
        <w:lastRenderedPageBreak/>
        <w:t>conditions. Pandemic also introduces a new community driver that was not anticipated, and it suddenly becomes a communal driver to move forward. Previously, they attempted to use planning or land tenure background as an important factor in moving forward, but in the end, an economic approach could be considered as a potential driver of community-based planning and disaster resilience.</w:t>
      </w:r>
    </w:p>
    <w:p w14:paraId="78C1CBC3" w14:textId="57E436A5" w:rsidR="0065446B" w:rsidRPr="008253E8" w:rsidRDefault="0065446B" w:rsidP="00F96BAE">
      <w:pPr>
        <w:spacing w:before="240" w:after="120"/>
        <w:rPr>
          <w:b/>
          <w:sz w:val="22"/>
          <w:szCs w:val="22"/>
        </w:rPr>
      </w:pPr>
      <w:r w:rsidRPr="008253E8">
        <w:rPr>
          <w:b/>
          <w:sz w:val="22"/>
          <w:szCs w:val="22"/>
        </w:rPr>
        <w:t xml:space="preserve">4. </w:t>
      </w:r>
      <w:r w:rsidR="008253E8" w:rsidRPr="008253E8">
        <w:rPr>
          <w:b/>
          <w:sz w:val="22"/>
          <w:szCs w:val="22"/>
        </w:rPr>
        <w:t>CONCLUSION</w:t>
      </w:r>
    </w:p>
    <w:p w14:paraId="3DB2F6B2" w14:textId="3E93C7FF" w:rsidR="004F63C4" w:rsidRPr="008253E8" w:rsidRDefault="008253E8" w:rsidP="004F63C4">
      <w:pPr>
        <w:pStyle w:val="Normaltext"/>
        <w:spacing w:after="120"/>
        <w:ind w:firstLine="0"/>
        <w:rPr>
          <w:sz w:val="22"/>
          <w:szCs w:val="22"/>
        </w:rPr>
      </w:pPr>
      <w:r w:rsidRPr="008253E8">
        <w:rPr>
          <w:sz w:val="22"/>
          <w:szCs w:val="22"/>
        </w:rPr>
        <w:t xml:space="preserve">Planning systems, according to </w:t>
      </w:r>
      <w:proofErr w:type="spellStart"/>
      <w:r w:rsidRPr="008253E8">
        <w:rPr>
          <w:sz w:val="22"/>
          <w:szCs w:val="22"/>
        </w:rPr>
        <w:t>Safier</w:t>
      </w:r>
      <w:proofErr w:type="spellEnd"/>
      <w:r w:rsidRPr="008253E8">
        <w:rPr>
          <w:sz w:val="22"/>
          <w:szCs w:val="22"/>
        </w:rPr>
        <w:t>, are "social constructions" that cannot be separated from their context in both time and space (</w:t>
      </w:r>
      <w:proofErr w:type="spellStart"/>
      <w:r w:rsidRPr="008253E8">
        <w:rPr>
          <w:sz w:val="22"/>
          <w:szCs w:val="22"/>
        </w:rPr>
        <w:t>Safier</w:t>
      </w:r>
      <w:proofErr w:type="spellEnd"/>
      <w:r w:rsidRPr="008253E8">
        <w:rPr>
          <w:sz w:val="22"/>
          <w:szCs w:val="22"/>
        </w:rPr>
        <w:t xml:space="preserve">, 2002). In this way, this research attempted to investigate how this specific moment in time, during the COVID-19 crisis, could be used to in-crease the 'room for </w:t>
      </w:r>
      <w:proofErr w:type="spellStart"/>
      <w:r w:rsidRPr="008253E8">
        <w:rPr>
          <w:sz w:val="22"/>
          <w:szCs w:val="22"/>
        </w:rPr>
        <w:t>maneuver</w:t>
      </w:r>
      <w:proofErr w:type="spellEnd"/>
      <w:r w:rsidRPr="008253E8">
        <w:rPr>
          <w:sz w:val="22"/>
          <w:szCs w:val="22"/>
        </w:rPr>
        <w:t xml:space="preserve">' in community activism over the long term. ARKOM and com-munities have proven to adapt four dimensions of action spanning from technical, organizational, social, and strategy to make a </w:t>
      </w:r>
      <w:proofErr w:type="spellStart"/>
      <w:r w:rsidRPr="008253E8">
        <w:rPr>
          <w:sz w:val="22"/>
          <w:szCs w:val="22"/>
        </w:rPr>
        <w:t>maneuver</w:t>
      </w:r>
      <w:proofErr w:type="spellEnd"/>
      <w:r w:rsidRPr="008253E8">
        <w:rPr>
          <w:sz w:val="22"/>
          <w:szCs w:val="22"/>
        </w:rPr>
        <w:t xml:space="preserve"> during the pandemic time. It is noted that technological advancement and penetration are critical to ensuring the </w:t>
      </w:r>
      <w:proofErr w:type="spellStart"/>
      <w:r w:rsidRPr="008253E8">
        <w:rPr>
          <w:sz w:val="22"/>
          <w:szCs w:val="22"/>
        </w:rPr>
        <w:t>maneuver's</w:t>
      </w:r>
      <w:proofErr w:type="spellEnd"/>
      <w:r w:rsidRPr="008253E8">
        <w:rPr>
          <w:sz w:val="22"/>
          <w:szCs w:val="22"/>
        </w:rPr>
        <w:t xml:space="preserve"> success. Another important aspect is the involvement of ARKOM; as an architecturally based organization, to prove that an-other way of doing architecture is possible (</w:t>
      </w:r>
      <w:proofErr w:type="spellStart"/>
      <w:r w:rsidRPr="008253E8">
        <w:rPr>
          <w:sz w:val="22"/>
          <w:szCs w:val="22"/>
        </w:rPr>
        <w:t>Boano</w:t>
      </w:r>
      <w:proofErr w:type="spellEnd"/>
      <w:r w:rsidRPr="008253E8">
        <w:rPr>
          <w:sz w:val="22"/>
          <w:szCs w:val="22"/>
        </w:rPr>
        <w:t xml:space="preserve"> &amp; </w:t>
      </w:r>
      <w:proofErr w:type="spellStart"/>
      <w:r w:rsidRPr="008253E8">
        <w:rPr>
          <w:sz w:val="22"/>
          <w:szCs w:val="22"/>
        </w:rPr>
        <w:t>Talocci</w:t>
      </w:r>
      <w:proofErr w:type="spellEnd"/>
      <w:r w:rsidRPr="008253E8">
        <w:rPr>
          <w:sz w:val="22"/>
          <w:szCs w:val="22"/>
        </w:rPr>
        <w:t>, 2</w:t>
      </w:r>
      <w:r w:rsidR="0035774D">
        <w:rPr>
          <w:sz w:val="22"/>
          <w:szCs w:val="22"/>
        </w:rPr>
        <w:t>014). They may be able to decon</w:t>
      </w:r>
      <w:r w:rsidRPr="008253E8">
        <w:rPr>
          <w:sz w:val="22"/>
          <w:szCs w:val="22"/>
        </w:rPr>
        <w:t>struct the image of the architect as an individual hero, replacing it with the notion of the architect as an agent, acting and collaborating with, and on behalf of others. Their long-term involvement in the community could be expanded, scaled, and replicated to other locations and settings. This will be our major assignment in order to make it more happening in the future.</w:t>
      </w:r>
      <w:r w:rsidR="004F63C4" w:rsidRPr="008253E8">
        <w:rPr>
          <w:color w:val="FF0000"/>
          <w:sz w:val="22"/>
          <w:szCs w:val="22"/>
        </w:rPr>
        <w:t xml:space="preserve"> </w:t>
      </w:r>
    </w:p>
    <w:p w14:paraId="6EBDDA59" w14:textId="36ADA88C" w:rsidR="00F31320" w:rsidRPr="008253E8" w:rsidRDefault="008253E8" w:rsidP="00F96BAE">
      <w:pPr>
        <w:pStyle w:val="Aknowledgements-head"/>
        <w:spacing w:before="240" w:after="120"/>
        <w:rPr>
          <w:caps/>
          <w:sz w:val="22"/>
          <w:szCs w:val="22"/>
        </w:rPr>
      </w:pPr>
      <w:r w:rsidRPr="008253E8">
        <w:rPr>
          <w:caps/>
          <w:sz w:val="22"/>
          <w:szCs w:val="22"/>
        </w:rPr>
        <w:t xml:space="preserve">ACKNOWLEDGMENT </w:t>
      </w:r>
    </w:p>
    <w:p w14:paraId="60E70CCE" w14:textId="77777777" w:rsidR="008253E8" w:rsidRPr="008253E8" w:rsidRDefault="008253E8" w:rsidP="008253E8">
      <w:pPr>
        <w:suppressLineNumbers/>
        <w:spacing w:line="261" w:lineRule="exact"/>
        <w:rPr>
          <w:rFonts w:ascii="Tinos" w:hAnsi="Tinos" w:cs="Tinos"/>
          <w:sz w:val="22"/>
          <w:szCs w:val="22"/>
        </w:rPr>
      </w:pPr>
      <w:r w:rsidRPr="008253E8">
        <w:rPr>
          <w:rFonts w:ascii="Tinos" w:hAnsi="Tinos" w:cs="Tinos"/>
          <w:sz w:val="22"/>
          <w:szCs w:val="22"/>
        </w:rPr>
        <w:t>This work was financially supported by LPPM ITN Malang through “</w:t>
      </w:r>
      <w:proofErr w:type="spellStart"/>
      <w:r w:rsidRPr="008253E8">
        <w:rPr>
          <w:rFonts w:ascii="Tinos" w:hAnsi="Tinos" w:cs="Tinos"/>
          <w:sz w:val="22"/>
          <w:szCs w:val="22"/>
        </w:rPr>
        <w:t>Pendanaan</w:t>
      </w:r>
      <w:proofErr w:type="spellEnd"/>
      <w:r w:rsidRPr="008253E8">
        <w:rPr>
          <w:rFonts w:ascii="Tinos" w:hAnsi="Tinos" w:cs="Tinos"/>
          <w:sz w:val="22"/>
          <w:szCs w:val="22"/>
        </w:rPr>
        <w:t xml:space="preserve"> </w:t>
      </w:r>
      <w:proofErr w:type="spellStart"/>
      <w:proofErr w:type="gramStart"/>
      <w:r w:rsidRPr="008253E8">
        <w:rPr>
          <w:rFonts w:ascii="Tinos" w:hAnsi="Tinos" w:cs="Tinos"/>
          <w:sz w:val="22"/>
          <w:szCs w:val="22"/>
        </w:rPr>
        <w:t>Litabnas</w:t>
      </w:r>
      <w:proofErr w:type="spellEnd"/>
      <w:r w:rsidRPr="008253E8">
        <w:rPr>
          <w:rFonts w:ascii="Tinos" w:hAnsi="Tinos" w:cs="Tinos"/>
          <w:sz w:val="22"/>
          <w:szCs w:val="22"/>
        </w:rPr>
        <w:t xml:space="preserve">  2021</w:t>
      </w:r>
      <w:proofErr w:type="gramEnd"/>
      <w:r w:rsidRPr="008253E8">
        <w:rPr>
          <w:rFonts w:ascii="Tinos" w:hAnsi="Tinos" w:cs="Tinos"/>
          <w:sz w:val="22"/>
          <w:szCs w:val="22"/>
        </w:rPr>
        <w:t>”. Therefore, we are grateful for this funding and support of this research.</w:t>
      </w:r>
    </w:p>
    <w:p w14:paraId="7A7D53BC" w14:textId="77777777" w:rsidR="008253E8" w:rsidRDefault="008253E8" w:rsidP="00F96BAE">
      <w:pPr>
        <w:spacing w:before="240" w:after="120"/>
        <w:rPr>
          <w:b/>
          <w:sz w:val="22"/>
          <w:szCs w:val="22"/>
        </w:rPr>
      </w:pPr>
    </w:p>
    <w:p w14:paraId="223767CB" w14:textId="77777777" w:rsidR="008253E8" w:rsidRDefault="008253E8" w:rsidP="00F96BAE">
      <w:pPr>
        <w:spacing w:before="240" w:after="120"/>
        <w:rPr>
          <w:b/>
          <w:sz w:val="22"/>
          <w:szCs w:val="22"/>
        </w:rPr>
      </w:pPr>
    </w:p>
    <w:p w14:paraId="3C20AE1D" w14:textId="2D708830" w:rsidR="0065446B" w:rsidRDefault="008253E8" w:rsidP="00F96BAE">
      <w:pPr>
        <w:spacing w:before="240" w:after="120"/>
        <w:rPr>
          <w:b/>
          <w:sz w:val="22"/>
          <w:szCs w:val="22"/>
        </w:rPr>
      </w:pPr>
      <w:r>
        <w:rPr>
          <w:b/>
          <w:sz w:val="22"/>
          <w:szCs w:val="22"/>
        </w:rPr>
        <w:lastRenderedPageBreak/>
        <w:t xml:space="preserve">REFERENCE </w:t>
      </w:r>
    </w:p>
    <w:p w14:paraId="4D2702A9" w14:textId="77777777" w:rsidR="008253E8" w:rsidRPr="008253E8" w:rsidRDefault="008253E8" w:rsidP="008253E8">
      <w:pPr>
        <w:widowControl w:val="0"/>
        <w:autoSpaceDE w:val="0"/>
        <w:autoSpaceDN w:val="0"/>
        <w:adjustRightInd w:val="0"/>
        <w:spacing w:line="240" w:lineRule="exact"/>
        <w:ind w:left="480" w:hanging="480"/>
        <w:rPr>
          <w:rFonts w:ascii="Tinos" w:hAnsi="Tinos" w:cs="Tinos"/>
          <w:noProof/>
          <w:sz w:val="22"/>
          <w:szCs w:val="22"/>
        </w:rPr>
      </w:pPr>
      <w:r w:rsidRPr="008253E8">
        <w:rPr>
          <w:rFonts w:ascii="Tinos" w:hAnsi="Tinos" w:cs="Tinos"/>
          <w:noProof/>
          <w:sz w:val="22"/>
          <w:szCs w:val="22"/>
        </w:rPr>
        <w:t>ACHR. (2014). ACCA Fifth Year Report. Thailand: ASian Coalition for Housing Rights.</w:t>
      </w:r>
    </w:p>
    <w:p w14:paraId="6C9DF744" w14:textId="77777777" w:rsidR="008253E8" w:rsidRPr="008253E8" w:rsidRDefault="008253E8" w:rsidP="008253E8">
      <w:pPr>
        <w:widowControl w:val="0"/>
        <w:autoSpaceDE w:val="0"/>
        <w:autoSpaceDN w:val="0"/>
        <w:adjustRightInd w:val="0"/>
        <w:spacing w:line="240" w:lineRule="exact"/>
        <w:ind w:left="480" w:hanging="480"/>
        <w:rPr>
          <w:rFonts w:ascii="Tinos" w:hAnsi="Tinos" w:cs="Tinos"/>
          <w:noProof/>
          <w:sz w:val="22"/>
          <w:szCs w:val="22"/>
        </w:rPr>
      </w:pPr>
      <w:r w:rsidRPr="008253E8">
        <w:rPr>
          <w:rFonts w:ascii="Tinos" w:hAnsi="Tinos" w:cs="Tinos"/>
          <w:noProof/>
          <w:sz w:val="22"/>
          <w:szCs w:val="22"/>
        </w:rPr>
        <w:fldChar w:fldCharType="begin" w:fldLock="1"/>
      </w:r>
      <w:r w:rsidRPr="008253E8">
        <w:rPr>
          <w:rFonts w:ascii="Tinos" w:hAnsi="Tinos" w:cs="Tinos"/>
          <w:noProof/>
          <w:sz w:val="22"/>
          <w:szCs w:val="22"/>
        </w:rPr>
        <w:instrText xml:space="preserve">ADDIN Mendeley Bibliography CSL_BIBLIOGRAPHY </w:instrText>
      </w:r>
      <w:r w:rsidRPr="008253E8">
        <w:rPr>
          <w:rFonts w:ascii="Tinos" w:hAnsi="Tinos" w:cs="Tinos"/>
          <w:noProof/>
          <w:sz w:val="22"/>
          <w:szCs w:val="22"/>
        </w:rPr>
        <w:fldChar w:fldCharType="separate"/>
      </w:r>
      <w:r w:rsidRPr="008253E8">
        <w:rPr>
          <w:rFonts w:ascii="Tinos" w:hAnsi="Tinos" w:cs="Tinos"/>
          <w:noProof/>
          <w:sz w:val="22"/>
          <w:szCs w:val="22"/>
        </w:rPr>
        <w:t xml:space="preserve">Agustino, L. (2020). Analisis Kebijakan Penanganan Wabah Covid-19: Pengalaman Indonesia. </w:t>
      </w:r>
      <w:r w:rsidRPr="008253E8">
        <w:rPr>
          <w:rFonts w:ascii="Tinos" w:hAnsi="Tinos" w:cs="Tinos"/>
          <w:i/>
          <w:iCs/>
          <w:noProof/>
          <w:sz w:val="22"/>
          <w:szCs w:val="22"/>
        </w:rPr>
        <w:t>Jurnal Borneo Administrator</w:t>
      </w:r>
      <w:r w:rsidRPr="008253E8">
        <w:rPr>
          <w:rFonts w:ascii="Tinos" w:hAnsi="Tinos" w:cs="Tinos"/>
          <w:noProof/>
          <w:sz w:val="22"/>
          <w:szCs w:val="22"/>
        </w:rPr>
        <w:t xml:space="preserve">, </w:t>
      </w:r>
      <w:r w:rsidRPr="008253E8">
        <w:rPr>
          <w:rFonts w:ascii="Tinos" w:hAnsi="Tinos" w:cs="Tinos"/>
          <w:i/>
          <w:iCs/>
          <w:noProof/>
          <w:sz w:val="22"/>
          <w:szCs w:val="22"/>
        </w:rPr>
        <w:t>16</w:t>
      </w:r>
      <w:r w:rsidRPr="008253E8">
        <w:rPr>
          <w:rFonts w:ascii="Tinos" w:hAnsi="Tinos" w:cs="Tinos"/>
          <w:noProof/>
          <w:sz w:val="22"/>
          <w:szCs w:val="22"/>
        </w:rPr>
        <w:t>(2), 253–270. https://doi.org/10.24258/jba.v16i2.685</w:t>
      </w:r>
    </w:p>
    <w:p w14:paraId="0323DECC" w14:textId="77777777" w:rsidR="008253E8" w:rsidRPr="008253E8" w:rsidRDefault="008253E8" w:rsidP="008253E8">
      <w:pPr>
        <w:widowControl w:val="0"/>
        <w:autoSpaceDE w:val="0"/>
        <w:autoSpaceDN w:val="0"/>
        <w:adjustRightInd w:val="0"/>
        <w:spacing w:line="240" w:lineRule="exact"/>
        <w:ind w:left="480" w:hanging="480"/>
        <w:rPr>
          <w:rFonts w:ascii="Tinos" w:hAnsi="Tinos" w:cs="Tinos"/>
          <w:noProof/>
          <w:sz w:val="22"/>
          <w:szCs w:val="22"/>
        </w:rPr>
      </w:pPr>
      <w:r w:rsidRPr="008253E8">
        <w:rPr>
          <w:rFonts w:ascii="Tinos" w:hAnsi="Tinos" w:cs="Tinos"/>
          <w:noProof/>
          <w:sz w:val="22"/>
          <w:szCs w:val="22"/>
        </w:rPr>
        <w:t xml:space="preserve">Akbar, Z. (2019). Community Resilience: Lesson Learnt from Disaster Survivors in Yogyakarta Province Indonesia. </w:t>
      </w:r>
      <w:r w:rsidRPr="008253E8">
        <w:rPr>
          <w:rFonts w:ascii="Tinos" w:hAnsi="Tinos" w:cs="Tinos"/>
          <w:i/>
          <w:iCs/>
          <w:noProof/>
          <w:sz w:val="22"/>
          <w:szCs w:val="22"/>
        </w:rPr>
        <w:t>IOP Conference Series: Earth and Environmental Science</w:t>
      </w:r>
      <w:r w:rsidRPr="008253E8">
        <w:rPr>
          <w:rFonts w:ascii="Tinos" w:hAnsi="Tinos" w:cs="Tinos"/>
          <w:noProof/>
          <w:sz w:val="22"/>
          <w:szCs w:val="22"/>
        </w:rPr>
        <w:t xml:space="preserve">, </w:t>
      </w:r>
      <w:r w:rsidRPr="008253E8">
        <w:rPr>
          <w:rFonts w:ascii="Tinos" w:hAnsi="Tinos" w:cs="Tinos"/>
          <w:i/>
          <w:iCs/>
          <w:noProof/>
          <w:sz w:val="22"/>
          <w:szCs w:val="22"/>
        </w:rPr>
        <w:t>273</w:t>
      </w:r>
      <w:r w:rsidRPr="008253E8">
        <w:rPr>
          <w:rFonts w:ascii="Tinos" w:hAnsi="Tinos" w:cs="Tinos"/>
          <w:noProof/>
          <w:sz w:val="22"/>
          <w:szCs w:val="22"/>
        </w:rPr>
        <w:t>(1). https://doi.org/10.1088/1755-1315/273/1/012036</w:t>
      </w:r>
    </w:p>
    <w:p w14:paraId="1226EB97" w14:textId="77777777" w:rsidR="008253E8" w:rsidRPr="008253E8" w:rsidRDefault="008253E8" w:rsidP="008253E8">
      <w:pPr>
        <w:widowControl w:val="0"/>
        <w:autoSpaceDE w:val="0"/>
        <w:autoSpaceDN w:val="0"/>
        <w:adjustRightInd w:val="0"/>
        <w:spacing w:line="240" w:lineRule="exact"/>
        <w:ind w:left="480" w:hanging="480"/>
        <w:rPr>
          <w:rFonts w:ascii="Tinos" w:hAnsi="Tinos" w:cs="Tinos"/>
          <w:noProof/>
          <w:sz w:val="22"/>
          <w:szCs w:val="22"/>
        </w:rPr>
      </w:pPr>
      <w:r w:rsidRPr="008253E8">
        <w:rPr>
          <w:rFonts w:ascii="Tinos" w:hAnsi="Tinos" w:cs="Tinos"/>
          <w:noProof/>
          <w:sz w:val="22"/>
          <w:szCs w:val="22"/>
        </w:rPr>
        <w:t xml:space="preserve">Archer, D., &amp; Boonyabancha, S. (2011). Seeing a disaster as an opportunity - harnessing the energy of disaster survivors for change. </w:t>
      </w:r>
      <w:r w:rsidRPr="008253E8">
        <w:rPr>
          <w:rFonts w:ascii="Tinos" w:hAnsi="Tinos" w:cs="Tinos"/>
          <w:i/>
          <w:iCs/>
          <w:noProof/>
          <w:sz w:val="22"/>
          <w:szCs w:val="22"/>
        </w:rPr>
        <w:t>Environment and Urbanization</w:t>
      </w:r>
      <w:r w:rsidRPr="008253E8">
        <w:rPr>
          <w:rFonts w:ascii="Tinos" w:hAnsi="Tinos" w:cs="Tinos"/>
          <w:noProof/>
          <w:sz w:val="22"/>
          <w:szCs w:val="22"/>
        </w:rPr>
        <w:t xml:space="preserve">, </w:t>
      </w:r>
      <w:r w:rsidRPr="008253E8">
        <w:rPr>
          <w:rFonts w:ascii="Tinos" w:hAnsi="Tinos" w:cs="Tinos"/>
          <w:i/>
          <w:iCs/>
          <w:noProof/>
          <w:sz w:val="22"/>
          <w:szCs w:val="22"/>
        </w:rPr>
        <w:t>23</w:t>
      </w:r>
      <w:r w:rsidRPr="008253E8">
        <w:rPr>
          <w:rFonts w:ascii="Tinos" w:hAnsi="Tinos" w:cs="Tinos"/>
          <w:noProof/>
          <w:sz w:val="22"/>
          <w:szCs w:val="22"/>
        </w:rPr>
        <w:t>(2), 351–364. https://doi.org/10.1177/0956247811410011</w:t>
      </w:r>
    </w:p>
    <w:p w14:paraId="7A28AB2A" w14:textId="77777777" w:rsidR="008253E8" w:rsidRPr="008253E8" w:rsidRDefault="008253E8" w:rsidP="008253E8">
      <w:pPr>
        <w:widowControl w:val="0"/>
        <w:autoSpaceDE w:val="0"/>
        <w:autoSpaceDN w:val="0"/>
        <w:adjustRightInd w:val="0"/>
        <w:spacing w:line="240" w:lineRule="exact"/>
        <w:ind w:left="480" w:hanging="480"/>
        <w:rPr>
          <w:rFonts w:ascii="Tinos" w:hAnsi="Tinos" w:cs="Tinos"/>
          <w:noProof/>
          <w:sz w:val="22"/>
          <w:szCs w:val="22"/>
        </w:rPr>
      </w:pPr>
      <w:r w:rsidRPr="008253E8">
        <w:rPr>
          <w:rFonts w:ascii="Tinos" w:hAnsi="Tinos" w:cs="Tinos"/>
          <w:noProof/>
          <w:sz w:val="22"/>
          <w:szCs w:val="22"/>
        </w:rPr>
        <w:t xml:space="preserve">Arkom Indonesia. (2020a). </w:t>
      </w:r>
      <w:r w:rsidRPr="008253E8">
        <w:rPr>
          <w:rFonts w:ascii="Tinos" w:hAnsi="Tinos" w:cs="Tinos"/>
          <w:i/>
          <w:iCs/>
          <w:noProof/>
          <w:sz w:val="22"/>
          <w:szCs w:val="22"/>
        </w:rPr>
        <w:t>A GLIMPSE OF ORGANIZATION AND EMERGENCY RESPONSE OF COVID-19 Organization</w:t>
      </w:r>
      <w:r w:rsidRPr="008253E8">
        <w:rPr>
          <w:rFonts w:ascii="Tinos" w:hAnsi="Tinos" w:cs="Tinos"/>
          <w:noProof/>
          <w:sz w:val="22"/>
          <w:szCs w:val="22"/>
        </w:rPr>
        <w:t>.</w:t>
      </w:r>
    </w:p>
    <w:p w14:paraId="053B5AA7" w14:textId="77777777" w:rsidR="008253E8" w:rsidRPr="008253E8" w:rsidRDefault="008253E8" w:rsidP="008253E8">
      <w:pPr>
        <w:widowControl w:val="0"/>
        <w:autoSpaceDE w:val="0"/>
        <w:autoSpaceDN w:val="0"/>
        <w:adjustRightInd w:val="0"/>
        <w:spacing w:line="240" w:lineRule="exact"/>
        <w:ind w:left="480" w:hanging="480"/>
        <w:rPr>
          <w:rFonts w:ascii="Tinos" w:hAnsi="Tinos" w:cs="Tinos"/>
          <w:noProof/>
          <w:sz w:val="22"/>
          <w:szCs w:val="22"/>
        </w:rPr>
      </w:pPr>
      <w:r w:rsidRPr="008253E8">
        <w:rPr>
          <w:rFonts w:ascii="Tinos" w:hAnsi="Tinos" w:cs="Tinos"/>
          <w:noProof/>
          <w:sz w:val="22"/>
          <w:szCs w:val="22"/>
        </w:rPr>
        <w:t xml:space="preserve">Arkom Indonesia. (2020b). </w:t>
      </w:r>
      <w:r w:rsidRPr="008253E8">
        <w:rPr>
          <w:rFonts w:ascii="Tinos" w:hAnsi="Tinos" w:cs="Tinos"/>
          <w:i/>
          <w:iCs/>
          <w:noProof/>
          <w:sz w:val="22"/>
          <w:szCs w:val="22"/>
        </w:rPr>
        <w:t>Masyarakat Miskin Kota Menghadapi COVID-19</w:t>
      </w:r>
      <w:r w:rsidRPr="008253E8">
        <w:rPr>
          <w:rFonts w:ascii="Tinos" w:hAnsi="Tinos" w:cs="Tinos"/>
          <w:noProof/>
          <w:sz w:val="22"/>
          <w:szCs w:val="22"/>
        </w:rPr>
        <w:t>.</w:t>
      </w:r>
    </w:p>
    <w:p w14:paraId="51117DD3" w14:textId="77777777" w:rsidR="008253E8" w:rsidRPr="008253E8" w:rsidRDefault="008253E8" w:rsidP="008253E8">
      <w:pPr>
        <w:widowControl w:val="0"/>
        <w:autoSpaceDE w:val="0"/>
        <w:autoSpaceDN w:val="0"/>
        <w:adjustRightInd w:val="0"/>
        <w:spacing w:line="240" w:lineRule="exact"/>
        <w:ind w:left="480" w:hanging="480"/>
        <w:rPr>
          <w:rFonts w:ascii="Tinos" w:hAnsi="Tinos" w:cs="Tinos"/>
          <w:noProof/>
          <w:sz w:val="22"/>
          <w:szCs w:val="22"/>
        </w:rPr>
      </w:pPr>
      <w:r w:rsidRPr="008253E8">
        <w:rPr>
          <w:rFonts w:ascii="Tinos" w:hAnsi="Tinos" w:cs="Tinos"/>
          <w:noProof/>
          <w:sz w:val="22"/>
          <w:szCs w:val="22"/>
        </w:rPr>
        <w:t xml:space="preserve">Bhan, G., Caldeira, T., Gillespie, K., &amp; Simone, A. (2020, August 3). </w:t>
      </w:r>
      <w:r w:rsidRPr="008253E8">
        <w:rPr>
          <w:rFonts w:ascii="Tinos" w:hAnsi="Tinos" w:cs="Tinos"/>
          <w:i/>
          <w:iCs/>
          <w:noProof/>
          <w:sz w:val="22"/>
          <w:szCs w:val="22"/>
        </w:rPr>
        <w:t>The Pandemic, Southern Urbanisms and Collective Life</w:t>
      </w:r>
      <w:r w:rsidRPr="008253E8">
        <w:rPr>
          <w:rFonts w:ascii="Tinos" w:hAnsi="Tinos" w:cs="Tinos"/>
          <w:noProof/>
          <w:sz w:val="22"/>
          <w:szCs w:val="22"/>
        </w:rPr>
        <w:t>. Society and Space. https://www.societyandspace.org/articles/the-pandemic-southern-urbanisms-and-collective-life</w:t>
      </w:r>
    </w:p>
    <w:p w14:paraId="2714FA98" w14:textId="77777777" w:rsidR="008253E8" w:rsidRPr="008253E8" w:rsidRDefault="008253E8" w:rsidP="008253E8">
      <w:pPr>
        <w:widowControl w:val="0"/>
        <w:autoSpaceDE w:val="0"/>
        <w:autoSpaceDN w:val="0"/>
        <w:adjustRightInd w:val="0"/>
        <w:spacing w:line="240" w:lineRule="exact"/>
        <w:ind w:left="480" w:hanging="480"/>
        <w:rPr>
          <w:rFonts w:ascii="Tinos" w:hAnsi="Tinos" w:cs="Tinos"/>
          <w:noProof/>
          <w:sz w:val="22"/>
          <w:szCs w:val="22"/>
        </w:rPr>
      </w:pPr>
      <w:r w:rsidRPr="008253E8">
        <w:rPr>
          <w:rFonts w:ascii="Tinos" w:hAnsi="Tinos" w:cs="Tinos"/>
          <w:noProof/>
          <w:sz w:val="22"/>
          <w:szCs w:val="22"/>
        </w:rPr>
        <w:t xml:space="preserve">Boano, C., &amp; Talocci, G. (2014). The (in)operative power: architecture and the reclaim of social relevance. </w:t>
      </w:r>
      <w:r w:rsidRPr="008253E8">
        <w:rPr>
          <w:rFonts w:ascii="Tinos" w:hAnsi="Tinos" w:cs="Tinos"/>
          <w:i/>
          <w:iCs/>
          <w:noProof/>
          <w:sz w:val="22"/>
          <w:szCs w:val="22"/>
        </w:rPr>
        <w:t>Studio Magazine</w:t>
      </w:r>
      <w:r w:rsidRPr="008253E8">
        <w:rPr>
          <w:rFonts w:ascii="Tinos" w:hAnsi="Tinos" w:cs="Tinos"/>
          <w:noProof/>
          <w:sz w:val="22"/>
          <w:szCs w:val="22"/>
        </w:rPr>
        <w:t xml:space="preserve">, </w:t>
      </w:r>
      <w:r w:rsidRPr="008253E8">
        <w:rPr>
          <w:rFonts w:ascii="Tinos" w:hAnsi="Tinos" w:cs="Tinos"/>
          <w:i/>
          <w:iCs/>
          <w:noProof/>
          <w:sz w:val="22"/>
          <w:szCs w:val="22"/>
        </w:rPr>
        <w:t>6</w:t>
      </w:r>
      <w:r w:rsidRPr="008253E8">
        <w:rPr>
          <w:rFonts w:ascii="Tinos" w:hAnsi="Tinos" w:cs="Tinos"/>
          <w:noProof/>
          <w:sz w:val="22"/>
          <w:szCs w:val="22"/>
        </w:rPr>
        <w:t>, 108–115.</w:t>
      </w:r>
    </w:p>
    <w:p w14:paraId="6ADE651E" w14:textId="77777777" w:rsidR="008253E8" w:rsidRPr="008253E8" w:rsidRDefault="008253E8" w:rsidP="008253E8">
      <w:pPr>
        <w:widowControl w:val="0"/>
        <w:autoSpaceDE w:val="0"/>
        <w:autoSpaceDN w:val="0"/>
        <w:adjustRightInd w:val="0"/>
        <w:spacing w:line="240" w:lineRule="exact"/>
        <w:ind w:left="480" w:hanging="480"/>
        <w:rPr>
          <w:rFonts w:ascii="Tinos" w:hAnsi="Tinos" w:cs="Tinos"/>
          <w:noProof/>
          <w:sz w:val="22"/>
          <w:szCs w:val="22"/>
        </w:rPr>
      </w:pPr>
      <w:r w:rsidRPr="008253E8">
        <w:rPr>
          <w:rFonts w:ascii="Tinos" w:hAnsi="Tinos" w:cs="Tinos"/>
          <w:noProof/>
          <w:sz w:val="22"/>
          <w:szCs w:val="22"/>
        </w:rPr>
        <w:t xml:space="preserve">BPS. (2019). </w:t>
      </w:r>
      <w:r w:rsidRPr="008253E8">
        <w:rPr>
          <w:rFonts w:ascii="Tinos" w:hAnsi="Tinos" w:cs="Tinos"/>
          <w:i/>
          <w:iCs/>
          <w:noProof/>
          <w:sz w:val="22"/>
          <w:szCs w:val="22"/>
        </w:rPr>
        <w:t>Badan Pusat Statistik</w:t>
      </w:r>
      <w:r w:rsidRPr="008253E8">
        <w:rPr>
          <w:rFonts w:ascii="Tinos" w:hAnsi="Tinos" w:cs="Tinos"/>
          <w:noProof/>
          <w:sz w:val="22"/>
          <w:szCs w:val="22"/>
        </w:rPr>
        <w:t>. https://www.bps.go.id/indikator/indikator/view_data_pub/0000/api_pub/bEVXU252SU9hTjBxWEU3Z2NpS1ZPQT09/da_02/1</w:t>
      </w:r>
    </w:p>
    <w:p w14:paraId="70DA302C" w14:textId="77777777" w:rsidR="008253E8" w:rsidRPr="008253E8" w:rsidRDefault="008253E8" w:rsidP="008253E8">
      <w:pPr>
        <w:widowControl w:val="0"/>
        <w:autoSpaceDE w:val="0"/>
        <w:autoSpaceDN w:val="0"/>
        <w:adjustRightInd w:val="0"/>
        <w:spacing w:line="240" w:lineRule="exact"/>
        <w:ind w:left="480" w:hanging="480"/>
        <w:rPr>
          <w:rFonts w:ascii="Tinos" w:hAnsi="Tinos" w:cs="Tinos"/>
          <w:noProof/>
          <w:sz w:val="22"/>
          <w:szCs w:val="22"/>
        </w:rPr>
      </w:pPr>
      <w:r w:rsidRPr="008253E8">
        <w:rPr>
          <w:rFonts w:ascii="Tinos" w:hAnsi="Tinos" w:cs="Tinos"/>
          <w:noProof/>
          <w:sz w:val="22"/>
          <w:szCs w:val="22"/>
        </w:rPr>
        <w:t xml:space="preserve">Cutter, S. L., Barnes, L., Berry, M., Burton, C., Evans, E., Tate, E., &amp; Webb, J. (2008). A place-based model for understanding community resilience to natural disasters. </w:t>
      </w:r>
      <w:r w:rsidRPr="008253E8">
        <w:rPr>
          <w:rFonts w:ascii="Tinos" w:hAnsi="Tinos" w:cs="Tinos"/>
          <w:i/>
          <w:iCs/>
          <w:noProof/>
          <w:sz w:val="22"/>
          <w:szCs w:val="22"/>
        </w:rPr>
        <w:t>Global Environmental Change</w:t>
      </w:r>
      <w:r w:rsidRPr="008253E8">
        <w:rPr>
          <w:rFonts w:ascii="Tinos" w:hAnsi="Tinos" w:cs="Tinos"/>
          <w:noProof/>
          <w:sz w:val="22"/>
          <w:szCs w:val="22"/>
        </w:rPr>
        <w:t xml:space="preserve">, </w:t>
      </w:r>
      <w:r w:rsidRPr="008253E8">
        <w:rPr>
          <w:rFonts w:ascii="Tinos" w:hAnsi="Tinos" w:cs="Tinos"/>
          <w:i/>
          <w:iCs/>
          <w:noProof/>
          <w:sz w:val="22"/>
          <w:szCs w:val="22"/>
        </w:rPr>
        <w:t>18</w:t>
      </w:r>
      <w:r w:rsidRPr="008253E8">
        <w:rPr>
          <w:rFonts w:ascii="Tinos" w:hAnsi="Tinos" w:cs="Tinos"/>
          <w:noProof/>
          <w:sz w:val="22"/>
          <w:szCs w:val="22"/>
        </w:rPr>
        <w:t>(4), 598–606. https://doi.org/10.1016/j.gloenvcha.2008.07.013</w:t>
      </w:r>
    </w:p>
    <w:p w14:paraId="7D7706FC" w14:textId="77777777" w:rsidR="008253E8" w:rsidRPr="008253E8" w:rsidRDefault="008253E8" w:rsidP="008253E8">
      <w:pPr>
        <w:widowControl w:val="0"/>
        <w:autoSpaceDE w:val="0"/>
        <w:autoSpaceDN w:val="0"/>
        <w:adjustRightInd w:val="0"/>
        <w:spacing w:line="240" w:lineRule="exact"/>
        <w:ind w:left="480" w:hanging="480"/>
        <w:rPr>
          <w:rFonts w:ascii="Tinos" w:hAnsi="Tinos" w:cs="Tinos"/>
          <w:noProof/>
          <w:sz w:val="22"/>
          <w:szCs w:val="22"/>
        </w:rPr>
      </w:pPr>
      <w:r w:rsidRPr="008253E8">
        <w:rPr>
          <w:rFonts w:ascii="Tinos" w:hAnsi="Tinos" w:cs="Tinos"/>
          <w:noProof/>
          <w:sz w:val="22"/>
          <w:szCs w:val="22"/>
        </w:rPr>
        <w:t xml:space="preserve">Folke, C., S. R. Carpenter, B. Walker, M. Scheffer, T. Chapin,  and J. R. (2010). </w:t>
      </w:r>
      <w:r w:rsidRPr="008253E8">
        <w:rPr>
          <w:rFonts w:ascii="Tinos" w:hAnsi="Tinos" w:cs="Tinos"/>
          <w:noProof/>
          <w:sz w:val="22"/>
          <w:szCs w:val="22"/>
        </w:rPr>
        <w:lastRenderedPageBreak/>
        <w:t xml:space="preserve">Resilience Thinking: Integrating Resilience, Adaptability and Transformability. </w:t>
      </w:r>
      <w:r w:rsidRPr="008253E8">
        <w:rPr>
          <w:rFonts w:ascii="Tinos" w:hAnsi="Tinos" w:cs="Tinos"/>
          <w:i/>
          <w:iCs/>
          <w:noProof/>
          <w:sz w:val="22"/>
          <w:szCs w:val="22"/>
        </w:rPr>
        <w:t>Ecology and Society</w:t>
      </w:r>
      <w:r w:rsidRPr="008253E8">
        <w:rPr>
          <w:rFonts w:ascii="Tinos" w:hAnsi="Tinos" w:cs="Tinos"/>
          <w:noProof/>
          <w:sz w:val="22"/>
          <w:szCs w:val="22"/>
        </w:rPr>
        <w:t xml:space="preserve">, </w:t>
      </w:r>
      <w:r w:rsidRPr="008253E8">
        <w:rPr>
          <w:rFonts w:ascii="Tinos" w:hAnsi="Tinos" w:cs="Tinos"/>
          <w:i/>
          <w:iCs/>
          <w:noProof/>
          <w:sz w:val="22"/>
          <w:szCs w:val="22"/>
        </w:rPr>
        <w:t>15</w:t>
      </w:r>
      <w:r w:rsidRPr="008253E8">
        <w:rPr>
          <w:rFonts w:ascii="Tinos" w:hAnsi="Tinos" w:cs="Tinos"/>
          <w:noProof/>
          <w:sz w:val="22"/>
          <w:szCs w:val="22"/>
        </w:rPr>
        <w:t>(4). https://doi.org/10.1038/nnano.2011.191</w:t>
      </w:r>
    </w:p>
    <w:p w14:paraId="5A53ED41" w14:textId="77777777" w:rsidR="008253E8" w:rsidRPr="008253E8" w:rsidRDefault="008253E8" w:rsidP="008253E8">
      <w:pPr>
        <w:widowControl w:val="0"/>
        <w:autoSpaceDE w:val="0"/>
        <w:autoSpaceDN w:val="0"/>
        <w:adjustRightInd w:val="0"/>
        <w:spacing w:line="240" w:lineRule="exact"/>
        <w:ind w:left="480" w:hanging="480"/>
        <w:rPr>
          <w:rFonts w:ascii="Tinos" w:hAnsi="Tinos" w:cs="Tinos"/>
          <w:noProof/>
          <w:sz w:val="22"/>
          <w:szCs w:val="22"/>
        </w:rPr>
      </w:pPr>
      <w:r w:rsidRPr="008253E8">
        <w:rPr>
          <w:rFonts w:ascii="Tinos" w:hAnsi="Tinos" w:cs="Tinos"/>
          <w:noProof/>
          <w:sz w:val="22"/>
          <w:szCs w:val="22"/>
        </w:rPr>
        <w:t xml:space="preserve">French, M., Ramirez-Lovering, D., Sinharoy, S. S., Turagabeci, A., Latif, I., Leder, K., &amp; Brown, R. (2020). Informal settlements in a COVID-19 world: moving beyond upgrading and envisioning revitalisation. </w:t>
      </w:r>
      <w:r w:rsidRPr="008253E8">
        <w:rPr>
          <w:rFonts w:ascii="Tinos" w:hAnsi="Tinos" w:cs="Tinos"/>
          <w:i/>
          <w:iCs/>
          <w:noProof/>
          <w:sz w:val="22"/>
          <w:szCs w:val="22"/>
        </w:rPr>
        <w:t>Cities &amp; Health</w:t>
      </w:r>
      <w:r w:rsidRPr="008253E8">
        <w:rPr>
          <w:rFonts w:ascii="Tinos" w:hAnsi="Tinos" w:cs="Tinos"/>
          <w:noProof/>
          <w:sz w:val="22"/>
          <w:szCs w:val="22"/>
        </w:rPr>
        <w:t xml:space="preserve">, </w:t>
      </w:r>
      <w:r w:rsidRPr="008253E8">
        <w:rPr>
          <w:rFonts w:ascii="Tinos" w:hAnsi="Tinos" w:cs="Tinos"/>
          <w:i/>
          <w:iCs/>
          <w:noProof/>
          <w:sz w:val="22"/>
          <w:szCs w:val="22"/>
        </w:rPr>
        <w:t>00</w:t>
      </w:r>
      <w:r w:rsidRPr="008253E8">
        <w:rPr>
          <w:rFonts w:ascii="Tinos" w:hAnsi="Tinos" w:cs="Tinos"/>
          <w:noProof/>
          <w:sz w:val="22"/>
          <w:szCs w:val="22"/>
        </w:rPr>
        <w:t>(00), 1–4. https://doi.org/10.1080/23748834.2020.1812331</w:t>
      </w:r>
    </w:p>
    <w:p w14:paraId="60C1AC41" w14:textId="77777777" w:rsidR="008253E8" w:rsidRPr="008253E8" w:rsidRDefault="008253E8" w:rsidP="008253E8">
      <w:pPr>
        <w:widowControl w:val="0"/>
        <w:autoSpaceDE w:val="0"/>
        <w:autoSpaceDN w:val="0"/>
        <w:adjustRightInd w:val="0"/>
        <w:spacing w:line="240" w:lineRule="exact"/>
        <w:ind w:left="480" w:hanging="480"/>
        <w:rPr>
          <w:rFonts w:ascii="Tinos" w:hAnsi="Tinos" w:cs="Tinos"/>
          <w:noProof/>
          <w:sz w:val="22"/>
          <w:szCs w:val="22"/>
        </w:rPr>
      </w:pPr>
      <w:r w:rsidRPr="008253E8">
        <w:rPr>
          <w:rFonts w:ascii="Tinos" w:hAnsi="Tinos" w:cs="Tinos"/>
          <w:noProof/>
          <w:sz w:val="22"/>
          <w:szCs w:val="22"/>
        </w:rPr>
        <w:t xml:space="preserve">Iqbal, M. N. M. (2017). Diversity and Opportunity in a Good City Making, Learning from Informal Settlement in Yogyakarta-Indonesia. </w:t>
      </w:r>
      <w:r w:rsidRPr="008253E8">
        <w:rPr>
          <w:rFonts w:ascii="Tinos" w:hAnsi="Tinos" w:cs="Tinos"/>
          <w:i/>
          <w:iCs/>
          <w:noProof/>
          <w:sz w:val="22"/>
          <w:szCs w:val="22"/>
        </w:rPr>
        <w:t>International City Planning and Urban Design Conference</w:t>
      </w:r>
      <w:r w:rsidRPr="008253E8">
        <w:rPr>
          <w:rFonts w:ascii="Tinos" w:hAnsi="Tinos" w:cs="Tinos"/>
          <w:noProof/>
          <w:sz w:val="22"/>
          <w:szCs w:val="22"/>
        </w:rPr>
        <w:t>. https://doi.org/10.31227/osf.io/rxg8f</w:t>
      </w:r>
    </w:p>
    <w:p w14:paraId="00FA2B0F" w14:textId="77777777" w:rsidR="008253E8" w:rsidRPr="008253E8" w:rsidRDefault="008253E8" w:rsidP="008253E8">
      <w:pPr>
        <w:widowControl w:val="0"/>
        <w:autoSpaceDE w:val="0"/>
        <w:autoSpaceDN w:val="0"/>
        <w:adjustRightInd w:val="0"/>
        <w:spacing w:line="240" w:lineRule="exact"/>
        <w:ind w:left="480" w:hanging="480"/>
        <w:rPr>
          <w:rFonts w:ascii="Tinos" w:hAnsi="Tinos" w:cs="Tinos"/>
          <w:noProof/>
          <w:sz w:val="22"/>
          <w:szCs w:val="22"/>
        </w:rPr>
      </w:pPr>
      <w:r w:rsidRPr="008253E8">
        <w:rPr>
          <w:rFonts w:ascii="Tinos" w:hAnsi="Tinos" w:cs="Tinos"/>
          <w:noProof/>
          <w:sz w:val="22"/>
          <w:szCs w:val="22"/>
        </w:rPr>
        <w:t xml:space="preserve">Iqbal, M. N. M. (2018). Advancing Social Capital through Participatory Approaches. </w:t>
      </w:r>
      <w:r w:rsidRPr="008253E8">
        <w:rPr>
          <w:rFonts w:ascii="Tinos" w:hAnsi="Tinos" w:cs="Tinos"/>
          <w:i/>
          <w:iCs/>
          <w:noProof/>
          <w:sz w:val="22"/>
          <w:szCs w:val="22"/>
        </w:rPr>
        <w:t>EMARA: Indonesian Journal of Architecture</w:t>
      </w:r>
      <w:r w:rsidRPr="008253E8">
        <w:rPr>
          <w:rFonts w:ascii="Tinos" w:hAnsi="Tinos" w:cs="Tinos"/>
          <w:noProof/>
          <w:sz w:val="22"/>
          <w:szCs w:val="22"/>
        </w:rPr>
        <w:t xml:space="preserve">, </w:t>
      </w:r>
      <w:r w:rsidRPr="008253E8">
        <w:rPr>
          <w:rFonts w:ascii="Tinos" w:hAnsi="Tinos" w:cs="Tinos"/>
          <w:i/>
          <w:iCs/>
          <w:noProof/>
          <w:sz w:val="22"/>
          <w:szCs w:val="22"/>
        </w:rPr>
        <w:t>4</w:t>
      </w:r>
      <w:r w:rsidRPr="008253E8">
        <w:rPr>
          <w:rFonts w:ascii="Tinos" w:hAnsi="Tinos" w:cs="Tinos"/>
          <w:noProof/>
          <w:sz w:val="22"/>
          <w:szCs w:val="22"/>
        </w:rPr>
        <w:t>(1), 1–12. https://doi.org/10.29080/emara.v4i1.174</w:t>
      </w:r>
    </w:p>
    <w:p w14:paraId="18529214" w14:textId="77777777" w:rsidR="008253E8" w:rsidRPr="008253E8" w:rsidRDefault="008253E8" w:rsidP="008253E8">
      <w:pPr>
        <w:widowControl w:val="0"/>
        <w:autoSpaceDE w:val="0"/>
        <w:autoSpaceDN w:val="0"/>
        <w:adjustRightInd w:val="0"/>
        <w:spacing w:line="240" w:lineRule="exact"/>
        <w:ind w:left="480" w:hanging="480"/>
        <w:rPr>
          <w:rFonts w:ascii="Tinos" w:hAnsi="Tinos" w:cs="Tinos"/>
          <w:noProof/>
          <w:sz w:val="22"/>
          <w:szCs w:val="22"/>
        </w:rPr>
      </w:pPr>
      <w:r w:rsidRPr="008253E8">
        <w:rPr>
          <w:rFonts w:ascii="Tinos" w:hAnsi="Tinos" w:cs="Tinos"/>
          <w:noProof/>
          <w:sz w:val="22"/>
          <w:szCs w:val="22"/>
        </w:rPr>
        <w:t xml:space="preserve">Jana, F., Susanne, K., Stefan, N., Tim, S., Nils, U., Kilian, H., Leonhard, H., Simon, K., Fabian, S., Simone, S., &amp; Karl-michael, H. (2016). </w:t>
      </w:r>
      <w:r w:rsidRPr="008253E8">
        <w:rPr>
          <w:rFonts w:ascii="Tinos" w:hAnsi="Tinos" w:cs="Tinos"/>
          <w:i/>
          <w:iCs/>
          <w:noProof/>
          <w:sz w:val="22"/>
          <w:szCs w:val="22"/>
        </w:rPr>
        <w:t>Towards Urban Resilience : Assessment of Community-based Risk Reduction Strategies in Yogyakarta , Indonesia</w:t>
      </w:r>
      <w:r w:rsidRPr="008253E8">
        <w:rPr>
          <w:rFonts w:ascii="Tinos" w:hAnsi="Tinos" w:cs="Tinos"/>
          <w:noProof/>
          <w:sz w:val="22"/>
          <w:szCs w:val="22"/>
        </w:rPr>
        <w:t xml:space="preserve">. </w:t>
      </w:r>
      <w:r w:rsidRPr="008253E8">
        <w:rPr>
          <w:rFonts w:ascii="Tinos" w:hAnsi="Tinos" w:cs="Tinos"/>
          <w:i/>
          <w:iCs/>
          <w:noProof/>
          <w:sz w:val="22"/>
          <w:szCs w:val="22"/>
        </w:rPr>
        <w:t>February</w:t>
      </w:r>
      <w:r w:rsidRPr="008253E8">
        <w:rPr>
          <w:rFonts w:ascii="Tinos" w:hAnsi="Tinos" w:cs="Tinos"/>
          <w:noProof/>
          <w:sz w:val="22"/>
          <w:szCs w:val="22"/>
        </w:rPr>
        <w:t>.</w:t>
      </w:r>
    </w:p>
    <w:p w14:paraId="32BAC283" w14:textId="77777777" w:rsidR="008253E8" w:rsidRPr="008253E8" w:rsidRDefault="008253E8" w:rsidP="008253E8">
      <w:pPr>
        <w:widowControl w:val="0"/>
        <w:autoSpaceDE w:val="0"/>
        <w:autoSpaceDN w:val="0"/>
        <w:adjustRightInd w:val="0"/>
        <w:spacing w:line="240" w:lineRule="exact"/>
        <w:ind w:left="480" w:hanging="480"/>
        <w:rPr>
          <w:rFonts w:ascii="Tinos" w:hAnsi="Tinos" w:cs="Tinos"/>
          <w:noProof/>
          <w:sz w:val="22"/>
          <w:szCs w:val="22"/>
        </w:rPr>
      </w:pPr>
      <w:r w:rsidRPr="008253E8">
        <w:rPr>
          <w:rFonts w:ascii="Tinos" w:hAnsi="Tinos" w:cs="Tinos"/>
          <w:noProof/>
          <w:sz w:val="22"/>
          <w:szCs w:val="22"/>
        </w:rPr>
        <w:t xml:space="preserve">Kalijawi Community. (2015). </w:t>
      </w:r>
      <w:r w:rsidRPr="008253E8">
        <w:rPr>
          <w:rFonts w:ascii="Tinos" w:hAnsi="Tinos" w:cs="Tinos"/>
          <w:i/>
          <w:iCs/>
          <w:noProof/>
          <w:sz w:val="22"/>
          <w:szCs w:val="22"/>
        </w:rPr>
        <w:t>Kalijawi’s Profile</w:t>
      </w:r>
      <w:r w:rsidRPr="008253E8">
        <w:rPr>
          <w:rFonts w:ascii="Tinos" w:hAnsi="Tinos" w:cs="Tinos"/>
          <w:noProof/>
          <w:sz w:val="22"/>
          <w:szCs w:val="22"/>
        </w:rPr>
        <w:t>.</w:t>
      </w:r>
    </w:p>
    <w:p w14:paraId="41C4F83D" w14:textId="77777777" w:rsidR="008253E8" w:rsidRPr="008253E8" w:rsidRDefault="008253E8" w:rsidP="008253E8">
      <w:pPr>
        <w:widowControl w:val="0"/>
        <w:autoSpaceDE w:val="0"/>
        <w:autoSpaceDN w:val="0"/>
        <w:adjustRightInd w:val="0"/>
        <w:spacing w:line="240" w:lineRule="exact"/>
        <w:ind w:left="480" w:hanging="480"/>
        <w:rPr>
          <w:rFonts w:ascii="Tinos" w:hAnsi="Tinos" w:cs="Tinos"/>
          <w:noProof/>
          <w:sz w:val="22"/>
          <w:szCs w:val="22"/>
        </w:rPr>
      </w:pPr>
      <w:r w:rsidRPr="008253E8">
        <w:rPr>
          <w:rFonts w:ascii="Tinos" w:hAnsi="Tinos" w:cs="Tinos"/>
          <w:noProof/>
          <w:sz w:val="22"/>
          <w:szCs w:val="22"/>
        </w:rPr>
        <w:t xml:space="preserve">Rahman, M. B., Nurhasanah, I. S., &amp; Nugroho, S. P. (2016). Community Resilience: Learning from Mt Merapi Eruption 2010. </w:t>
      </w:r>
      <w:r w:rsidRPr="008253E8">
        <w:rPr>
          <w:rFonts w:ascii="Tinos" w:hAnsi="Tinos" w:cs="Tinos"/>
          <w:i/>
          <w:iCs/>
          <w:noProof/>
          <w:sz w:val="22"/>
          <w:szCs w:val="22"/>
        </w:rPr>
        <w:t>Procedia - Social and Behavioral Sciences</w:t>
      </w:r>
      <w:r w:rsidRPr="008253E8">
        <w:rPr>
          <w:rFonts w:ascii="Tinos" w:hAnsi="Tinos" w:cs="Tinos"/>
          <w:noProof/>
          <w:sz w:val="22"/>
          <w:szCs w:val="22"/>
        </w:rPr>
        <w:t xml:space="preserve">, </w:t>
      </w:r>
      <w:r w:rsidRPr="008253E8">
        <w:rPr>
          <w:rFonts w:ascii="Tinos" w:hAnsi="Tinos" w:cs="Tinos"/>
          <w:i/>
          <w:iCs/>
          <w:noProof/>
          <w:sz w:val="22"/>
          <w:szCs w:val="22"/>
        </w:rPr>
        <w:t>227</w:t>
      </w:r>
      <w:r w:rsidRPr="008253E8">
        <w:rPr>
          <w:rFonts w:ascii="Tinos" w:hAnsi="Tinos" w:cs="Tinos"/>
          <w:noProof/>
          <w:sz w:val="22"/>
          <w:szCs w:val="22"/>
        </w:rPr>
        <w:t>(November 2015), 387–394. https://doi.org/10.1016/j.sbspro.2016.06.090</w:t>
      </w:r>
    </w:p>
    <w:p w14:paraId="3C7419C9" w14:textId="77777777" w:rsidR="008253E8" w:rsidRPr="008253E8" w:rsidRDefault="008253E8" w:rsidP="008253E8">
      <w:pPr>
        <w:widowControl w:val="0"/>
        <w:autoSpaceDE w:val="0"/>
        <w:autoSpaceDN w:val="0"/>
        <w:adjustRightInd w:val="0"/>
        <w:spacing w:line="240" w:lineRule="exact"/>
        <w:ind w:left="480" w:hanging="480"/>
        <w:rPr>
          <w:rFonts w:ascii="Tinos" w:hAnsi="Tinos" w:cs="Tinos"/>
          <w:noProof/>
          <w:sz w:val="22"/>
          <w:szCs w:val="22"/>
        </w:rPr>
      </w:pPr>
      <w:r w:rsidRPr="008253E8">
        <w:rPr>
          <w:rFonts w:ascii="Tinos" w:hAnsi="Tinos" w:cs="Tinos"/>
          <w:noProof/>
          <w:sz w:val="22"/>
          <w:szCs w:val="22"/>
        </w:rPr>
        <w:t xml:space="preserve">Roitman, S. (2019). Urban poverty alleviation strategies in Yogyakarta, Indonesia: Contrasting opportunities for community development. </w:t>
      </w:r>
      <w:r w:rsidRPr="008253E8">
        <w:rPr>
          <w:rFonts w:ascii="Tinos" w:hAnsi="Tinos" w:cs="Tinos"/>
          <w:i/>
          <w:iCs/>
          <w:noProof/>
          <w:sz w:val="22"/>
          <w:szCs w:val="22"/>
        </w:rPr>
        <w:t>Asia Pacific Viewpoint</w:t>
      </w:r>
      <w:r w:rsidRPr="008253E8">
        <w:rPr>
          <w:rFonts w:ascii="Tinos" w:hAnsi="Tinos" w:cs="Tinos"/>
          <w:noProof/>
          <w:sz w:val="22"/>
          <w:szCs w:val="22"/>
        </w:rPr>
        <w:t xml:space="preserve">, </w:t>
      </w:r>
      <w:r w:rsidRPr="008253E8">
        <w:rPr>
          <w:rFonts w:ascii="Tinos" w:hAnsi="Tinos" w:cs="Tinos"/>
          <w:i/>
          <w:iCs/>
          <w:noProof/>
          <w:sz w:val="22"/>
          <w:szCs w:val="22"/>
        </w:rPr>
        <w:t>60</w:t>
      </w:r>
      <w:r w:rsidRPr="008253E8">
        <w:rPr>
          <w:rFonts w:ascii="Tinos" w:hAnsi="Tinos" w:cs="Tinos"/>
          <w:noProof/>
          <w:sz w:val="22"/>
          <w:szCs w:val="22"/>
        </w:rPr>
        <w:t>(3), 386–401. https://doi.org/10.1111/apv.12229</w:t>
      </w:r>
    </w:p>
    <w:p w14:paraId="4D0DF91A" w14:textId="77777777" w:rsidR="008253E8" w:rsidRPr="008253E8" w:rsidRDefault="008253E8" w:rsidP="008253E8">
      <w:pPr>
        <w:widowControl w:val="0"/>
        <w:autoSpaceDE w:val="0"/>
        <w:autoSpaceDN w:val="0"/>
        <w:adjustRightInd w:val="0"/>
        <w:spacing w:line="240" w:lineRule="exact"/>
        <w:ind w:left="480" w:hanging="480"/>
        <w:rPr>
          <w:rFonts w:ascii="Tinos" w:hAnsi="Tinos" w:cs="Tinos"/>
          <w:noProof/>
          <w:sz w:val="22"/>
          <w:szCs w:val="22"/>
        </w:rPr>
      </w:pPr>
      <w:r w:rsidRPr="008253E8">
        <w:rPr>
          <w:rFonts w:ascii="Tinos" w:hAnsi="Tinos" w:cs="Tinos"/>
          <w:noProof/>
          <w:sz w:val="22"/>
          <w:szCs w:val="22"/>
        </w:rPr>
        <w:t xml:space="preserve">Safier, M. (2002). On Estimating “Room For Manouvre.” </w:t>
      </w:r>
      <w:r w:rsidRPr="008253E8">
        <w:rPr>
          <w:rFonts w:ascii="Tinos" w:hAnsi="Tinos" w:cs="Tinos"/>
          <w:i/>
          <w:iCs/>
          <w:noProof/>
          <w:sz w:val="22"/>
          <w:szCs w:val="22"/>
        </w:rPr>
        <w:t>City</w:t>
      </w:r>
      <w:r w:rsidRPr="008253E8">
        <w:rPr>
          <w:rFonts w:ascii="Tinos" w:hAnsi="Tinos" w:cs="Tinos"/>
          <w:noProof/>
          <w:sz w:val="22"/>
          <w:szCs w:val="22"/>
        </w:rPr>
        <w:t xml:space="preserve">, </w:t>
      </w:r>
      <w:r w:rsidRPr="008253E8">
        <w:rPr>
          <w:rFonts w:ascii="Tinos" w:hAnsi="Tinos" w:cs="Tinos"/>
          <w:i/>
          <w:iCs/>
          <w:noProof/>
          <w:sz w:val="22"/>
          <w:szCs w:val="22"/>
        </w:rPr>
        <w:t>6</w:t>
      </w:r>
      <w:r w:rsidRPr="008253E8">
        <w:rPr>
          <w:rFonts w:ascii="Tinos" w:hAnsi="Tinos" w:cs="Tinos"/>
          <w:noProof/>
          <w:sz w:val="22"/>
          <w:szCs w:val="22"/>
        </w:rPr>
        <w:t>(1), 117–132.</w:t>
      </w:r>
    </w:p>
    <w:p w14:paraId="2C1A466B" w14:textId="77777777" w:rsidR="008253E8" w:rsidRPr="008253E8" w:rsidRDefault="008253E8" w:rsidP="008253E8">
      <w:pPr>
        <w:widowControl w:val="0"/>
        <w:autoSpaceDE w:val="0"/>
        <w:autoSpaceDN w:val="0"/>
        <w:adjustRightInd w:val="0"/>
        <w:spacing w:line="240" w:lineRule="exact"/>
        <w:ind w:left="480" w:hanging="480"/>
        <w:rPr>
          <w:rFonts w:ascii="Tinos" w:hAnsi="Tinos" w:cs="Tinos"/>
          <w:noProof/>
          <w:sz w:val="22"/>
          <w:szCs w:val="22"/>
        </w:rPr>
      </w:pPr>
      <w:r w:rsidRPr="008253E8">
        <w:rPr>
          <w:rFonts w:ascii="Tinos" w:hAnsi="Tinos" w:cs="Tinos"/>
          <w:noProof/>
          <w:sz w:val="22"/>
          <w:szCs w:val="22"/>
        </w:rPr>
        <w:t xml:space="preserve">Sugiyono. (2017). </w:t>
      </w:r>
      <w:r w:rsidRPr="008253E8">
        <w:rPr>
          <w:rFonts w:ascii="Tinos" w:hAnsi="Tinos" w:cs="Tinos"/>
          <w:i/>
          <w:iCs/>
          <w:noProof/>
          <w:sz w:val="22"/>
          <w:szCs w:val="22"/>
        </w:rPr>
        <w:t>Metode Penelitian Kualitatif</w:t>
      </w:r>
      <w:r w:rsidRPr="008253E8">
        <w:rPr>
          <w:rFonts w:ascii="Tinos" w:hAnsi="Tinos" w:cs="Tinos"/>
          <w:noProof/>
          <w:sz w:val="22"/>
          <w:szCs w:val="22"/>
        </w:rPr>
        <w:t>. Alfabeta.</w:t>
      </w:r>
    </w:p>
    <w:p w14:paraId="070C46E6" w14:textId="77777777" w:rsidR="008253E8" w:rsidRPr="008253E8" w:rsidRDefault="008253E8" w:rsidP="008253E8">
      <w:pPr>
        <w:widowControl w:val="0"/>
        <w:autoSpaceDE w:val="0"/>
        <w:autoSpaceDN w:val="0"/>
        <w:adjustRightInd w:val="0"/>
        <w:spacing w:line="240" w:lineRule="exact"/>
        <w:ind w:left="480" w:hanging="480"/>
        <w:rPr>
          <w:rFonts w:ascii="Tinos" w:hAnsi="Tinos" w:cs="Tinos"/>
          <w:noProof/>
          <w:sz w:val="22"/>
          <w:szCs w:val="22"/>
        </w:rPr>
      </w:pPr>
      <w:r w:rsidRPr="008253E8">
        <w:rPr>
          <w:rFonts w:ascii="Tinos" w:hAnsi="Tinos" w:cs="Tinos"/>
          <w:noProof/>
          <w:sz w:val="22"/>
          <w:szCs w:val="22"/>
        </w:rPr>
        <w:lastRenderedPageBreak/>
        <w:t xml:space="preserve">Utama, Y. S. (2016). PEMBANGUNAN PERKOTAAN BERBASIS KOMUNITAS STUDI KASUS PAGUYUBAN KALIJAWI, YOGYAKARTA. </w:t>
      </w:r>
      <w:r w:rsidRPr="008253E8">
        <w:rPr>
          <w:rFonts w:ascii="Tinos" w:hAnsi="Tinos" w:cs="Tinos"/>
          <w:i/>
          <w:iCs/>
          <w:noProof/>
          <w:sz w:val="22"/>
          <w:szCs w:val="22"/>
        </w:rPr>
        <w:t>Seminar Nasional Kota Kratiff</w:t>
      </w:r>
      <w:r w:rsidRPr="008253E8">
        <w:rPr>
          <w:rFonts w:ascii="Tinos" w:hAnsi="Tinos" w:cs="Tinos"/>
          <w:noProof/>
          <w:sz w:val="22"/>
          <w:szCs w:val="22"/>
        </w:rPr>
        <w:t>, 105–115.</w:t>
      </w:r>
    </w:p>
    <w:p w14:paraId="19981DA0" w14:textId="7D0898BA" w:rsidR="008779D7" w:rsidRPr="008779D7" w:rsidRDefault="008253E8" w:rsidP="008253E8">
      <w:pPr>
        <w:pStyle w:val="ListParagraph"/>
        <w:spacing w:after="0" w:line="240" w:lineRule="auto"/>
        <w:ind w:left="0"/>
        <w:jc w:val="both"/>
        <w:rPr>
          <w:bCs/>
          <w:lang w:val="nl-BE"/>
        </w:rPr>
      </w:pPr>
      <w:r w:rsidRPr="008253E8">
        <w:rPr>
          <w:rFonts w:ascii="Tinos" w:hAnsi="Tinos" w:cs="Tinos"/>
          <w:noProof/>
        </w:rPr>
        <w:fldChar w:fldCharType="end"/>
      </w:r>
    </w:p>
    <w:sectPr w:rsidR="008779D7" w:rsidRPr="008779D7" w:rsidSect="00CE373C">
      <w:type w:val="continuous"/>
      <w:pgSz w:w="11907" w:h="16840" w:code="9"/>
      <w:pgMar w:top="1701" w:right="1418" w:bottom="1701" w:left="1701" w:header="1140" w:footer="1140" w:gutter="0"/>
      <w:pgNumType w:start="1" w:chapSep="emDash"/>
      <w:cols w:num="2" w:space="461"/>
      <w:noEndnote/>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5BFC80" w14:textId="77777777" w:rsidR="000E3CB0" w:rsidRDefault="000E3CB0">
      <w:r>
        <w:separator/>
      </w:r>
    </w:p>
  </w:endnote>
  <w:endnote w:type="continuationSeparator" w:id="0">
    <w:p w14:paraId="06B9673E" w14:textId="77777777" w:rsidR="000E3CB0" w:rsidRDefault="000E3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nos">
    <w:altName w:val="Cambria"/>
    <w:charset w:val="00"/>
    <w:family w:val="roman"/>
    <w:pitch w:val="variable"/>
    <w:sig w:usb0="E0000AFF" w:usb1="500078FF" w:usb2="00000021"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643BF" w14:textId="4A88D5C6" w:rsidR="00F842AF" w:rsidRDefault="00515ADB" w:rsidP="005D658E">
    <w:pPr>
      <w:pStyle w:val="Footer"/>
      <w:pBdr>
        <w:top w:val="single" w:sz="4" w:space="1" w:color="auto"/>
      </w:pBdr>
    </w:pPr>
    <w:r>
      <w:rPr>
        <w:rStyle w:val="PageNumber"/>
      </w:rPr>
      <w:fldChar w:fldCharType="begin"/>
    </w:r>
    <w:r>
      <w:rPr>
        <w:rStyle w:val="PageNumber"/>
      </w:rPr>
      <w:instrText xml:space="preserve"> PAGE </w:instrText>
    </w:r>
    <w:r>
      <w:rPr>
        <w:rStyle w:val="PageNumber"/>
      </w:rPr>
      <w:fldChar w:fldCharType="separate"/>
    </w:r>
    <w:r w:rsidR="0035774D">
      <w:rPr>
        <w:rStyle w:val="PageNumber"/>
        <w:noProof/>
      </w:rPr>
      <w:t>8</w:t>
    </w:r>
    <w:r>
      <w:rPr>
        <w:rStyle w:val="PageNumber"/>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216E1" w14:textId="4D53BC33" w:rsidR="00515ADB" w:rsidRDefault="00515ADB" w:rsidP="005D658E">
    <w:pPr>
      <w:pStyle w:val="Footer"/>
      <w:pBdr>
        <w:top w:val="single" w:sz="4" w:space="1" w:color="auto"/>
      </w:pBdr>
      <w:jc w:val="right"/>
    </w:pPr>
    <w:r>
      <w:rPr>
        <w:rStyle w:val="PageNumber"/>
      </w:rPr>
      <w:fldChar w:fldCharType="begin"/>
    </w:r>
    <w:r>
      <w:rPr>
        <w:rStyle w:val="PageNumber"/>
      </w:rPr>
      <w:instrText xml:space="preserve"> PAGE </w:instrText>
    </w:r>
    <w:r>
      <w:rPr>
        <w:rStyle w:val="PageNumber"/>
      </w:rPr>
      <w:fldChar w:fldCharType="separate"/>
    </w:r>
    <w:r w:rsidR="0035774D">
      <w:rPr>
        <w:rStyle w:val="PageNumber"/>
        <w:noProof/>
      </w:rPr>
      <w:t>7</w:t>
    </w:r>
    <w:r>
      <w:rPr>
        <w:rStyle w:val="PageNumber"/>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79651" w14:textId="77777777" w:rsidR="005C2DA6" w:rsidRDefault="005C2DA6" w:rsidP="005C2DA6">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9E5392" w14:textId="77777777" w:rsidR="000E3CB0" w:rsidRDefault="000E3CB0">
      <w:r>
        <w:separator/>
      </w:r>
    </w:p>
  </w:footnote>
  <w:footnote w:type="continuationSeparator" w:id="0">
    <w:p w14:paraId="3D482980" w14:textId="77777777" w:rsidR="000E3CB0" w:rsidRDefault="000E3CB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9AF67" w14:textId="06BB743D" w:rsidR="0061729F" w:rsidRPr="00FC29B6" w:rsidRDefault="00613587" w:rsidP="00332969">
    <w:pPr>
      <w:pStyle w:val="Header"/>
      <w:pBdr>
        <w:bottom w:val="single" w:sz="4" w:space="1" w:color="auto"/>
      </w:pBdr>
      <w:jc w:val="left"/>
      <w:rPr>
        <w:lang w:val="sv-SE"/>
      </w:rPr>
    </w:pPr>
    <w:r w:rsidRPr="00FC29B6">
      <w:rPr>
        <w:i/>
        <w:sz w:val="20"/>
        <w:szCs w:val="20"/>
        <w:lang w:val="sv-SE"/>
      </w:rPr>
      <w:t>Arsitektura</w:t>
    </w:r>
    <w:r w:rsidR="00CA46E5">
      <w:rPr>
        <w:i/>
        <w:sz w:val="20"/>
        <w:szCs w:val="20"/>
        <w:lang w:val="sv-SE"/>
      </w:rPr>
      <w:t xml:space="preserve"> : Jurnal Ilm</w:t>
    </w:r>
    <w:r w:rsidR="00F96BAE">
      <w:rPr>
        <w:i/>
        <w:sz w:val="20"/>
        <w:szCs w:val="20"/>
        <w:lang w:val="sv-SE"/>
      </w:rPr>
      <w:t>iah</w:t>
    </w:r>
    <w:r w:rsidR="00CA46E5">
      <w:rPr>
        <w:i/>
        <w:sz w:val="20"/>
        <w:szCs w:val="20"/>
        <w:lang w:val="sv-SE"/>
      </w:rPr>
      <w:t xml:space="preserve"> Arsitektur dan Lingkungan Binaan</w:t>
    </w:r>
    <w:r w:rsidRPr="00FC29B6">
      <w:rPr>
        <w:i/>
        <w:sz w:val="20"/>
        <w:szCs w:val="20"/>
        <w:lang w:val="sv-SE"/>
      </w:rPr>
      <w:t xml:space="preserve">, Vol. </w:t>
    </w:r>
    <w:r w:rsidR="00B46E96">
      <w:rPr>
        <w:i/>
        <w:sz w:val="20"/>
        <w:szCs w:val="20"/>
        <w:lang w:val="sv-SE"/>
      </w:rPr>
      <w:t>1</w:t>
    </w:r>
    <w:r w:rsidR="0043564D">
      <w:rPr>
        <w:i/>
        <w:sz w:val="20"/>
        <w:szCs w:val="20"/>
        <w:lang w:val="sv-SE"/>
      </w:rPr>
      <w:t>8</w:t>
    </w:r>
    <w:r w:rsidR="00CA46E5">
      <w:rPr>
        <w:i/>
        <w:sz w:val="20"/>
        <w:szCs w:val="20"/>
        <w:lang w:val="sv-SE"/>
      </w:rPr>
      <w:t xml:space="preserve"> (2)</w:t>
    </w:r>
    <w:r w:rsidRPr="00FC29B6">
      <w:rPr>
        <w:i/>
        <w:sz w:val="20"/>
        <w:szCs w:val="20"/>
        <w:lang w:val="sv-SE"/>
      </w:rPr>
      <w:t xml:space="preserve"> </w:t>
    </w:r>
    <w:r w:rsidR="008C3479">
      <w:rPr>
        <w:i/>
        <w:sz w:val="20"/>
        <w:szCs w:val="20"/>
        <w:lang w:val="sv-SE"/>
      </w:rPr>
      <w:t>October</w:t>
    </w:r>
    <w:r w:rsidR="002715B6" w:rsidRPr="00FC29B6">
      <w:rPr>
        <w:i/>
        <w:sz w:val="20"/>
        <w:szCs w:val="20"/>
        <w:lang w:val="sv-SE"/>
      </w:rPr>
      <w:t xml:space="preserve"> </w:t>
    </w:r>
    <w:r w:rsidRPr="00FC29B6">
      <w:rPr>
        <w:i/>
        <w:sz w:val="20"/>
        <w:szCs w:val="20"/>
        <w:lang w:val="sv-SE"/>
      </w:rPr>
      <w:t xml:space="preserve"> 20</w:t>
    </w:r>
    <w:r w:rsidR="0043564D">
      <w:rPr>
        <w:i/>
        <w:sz w:val="20"/>
        <w:szCs w:val="20"/>
        <w:lang w:val="sv-SE"/>
      </w:rPr>
      <w:t>20</w:t>
    </w:r>
    <w:r w:rsidRPr="00FC29B6">
      <w:rPr>
        <w:i/>
        <w:sz w:val="20"/>
        <w:szCs w:val="20"/>
        <w:lang w:val="sv-SE"/>
      </w:rPr>
      <w:t xml:space="preserve">: </w:t>
    </w:r>
    <w:r w:rsidR="00B46E96">
      <w:rPr>
        <w:i/>
        <w:sz w:val="20"/>
        <w:szCs w:val="20"/>
        <w:lang w:val="sv-SE"/>
      </w:rPr>
      <w:t>xx</w:t>
    </w:r>
    <w:r w:rsidR="0085525E" w:rsidRPr="00FC29B6">
      <w:rPr>
        <w:i/>
        <w:sz w:val="20"/>
        <w:szCs w:val="20"/>
        <w:lang w:val="sv-SE"/>
      </w:rPr>
      <w:t>-</w:t>
    </w:r>
    <w:r w:rsidR="00B46E96">
      <w:rPr>
        <w:i/>
        <w:sz w:val="20"/>
        <w:szCs w:val="20"/>
        <w:lang w:val="sv-SE"/>
      </w:rPr>
      <w:t>yy</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C6DC0" w14:textId="20039281" w:rsidR="00F12A30" w:rsidRPr="00FC29B6" w:rsidRDefault="00FC29B6" w:rsidP="00BF6924">
    <w:pPr>
      <w:pStyle w:val="Header"/>
      <w:pBdr>
        <w:bottom w:val="single" w:sz="4" w:space="1" w:color="auto"/>
      </w:pBdr>
      <w:tabs>
        <w:tab w:val="clear" w:pos="4320"/>
        <w:tab w:val="center" w:pos="3402"/>
      </w:tabs>
      <w:jc w:val="right"/>
      <w:rPr>
        <w:szCs w:val="20"/>
      </w:rPr>
    </w:pPr>
    <w:r w:rsidRPr="00FC29B6">
      <w:rPr>
        <w:i/>
        <w:sz w:val="20"/>
        <w:szCs w:val="20"/>
      </w:rPr>
      <w:t>Authors, Title</w:t>
    </w:r>
    <w:r w:rsidR="00BF6924">
      <w:rPr>
        <w:i/>
        <w:sz w:val="20"/>
        <w:szCs w:val="20"/>
      </w:rPr>
      <w:t xml:space="preserve"> </w:t>
    </w:r>
    <w:r w:rsidRPr="00BF6924">
      <w:rPr>
        <w:i/>
        <w:color w:val="0000FF"/>
        <w:sz w:val="20"/>
        <w:szCs w:val="20"/>
      </w:rPr>
      <w:t xml:space="preserve">[2-3 words </w:t>
    </w:r>
    <w:r w:rsidR="00BF6924">
      <w:rPr>
        <w:i/>
        <w:color w:val="0000FF"/>
        <w:sz w:val="20"/>
        <w:szCs w:val="20"/>
      </w:rPr>
      <w:t>T</w:t>
    </w:r>
    <w:r w:rsidRPr="00BF6924">
      <w:rPr>
        <w:i/>
        <w:color w:val="0000FF"/>
        <w:sz w:val="20"/>
        <w:szCs w:val="20"/>
      </w:rPr>
      <w:t>imes New Roman 10pt italic</w:t>
    </w:r>
    <w:r w:rsidR="00BF6924" w:rsidRPr="00BF6924">
      <w:rPr>
        <w:i/>
        <w:color w:val="0000FF"/>
        <w:sz w:val="20"/>
        <w:szCs w:val="20"/>
      </w:rPr>
      <w:t>]</w:t>
    </w:r>
    <w:r w:rsidR="00BF6924">
      <w:rPr>
        <w:i/>
        <w:color w:val="0000FF"/>
        <w:sz w:val="20"/>
        <w:szCs w:val="20"/>
      </w:rPr>
      <w:t xml:space="preserve"> </w:t>
    </w:r>
    <w:r w:rsidR="002C307F" w:rsidRPr="00BF6924">
      <w:rPr>
        <w:i/>
        <w:color w:val="0000FF"/>
        <w:sz w:val="20"/>
        <w:szCs w:val="20"/>
      </w:rP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128A953A"/>
    <w:lvl w:ilvl="0">
      <w:start w:val="2"/>
      <w:numFmt w:val="decimal"/>
      <w:pStyle w:val="Heading1"/>
      <w:lvlText w:val="%1."/>
      <w:legacy w:legacy="1" w:legacySpace="144" w:legacyIndent="0"/>
      <w:lvlJc w:val="left"/>
      <w:rPr>
        <w:sz w:val="20"/>
      </w:rPr>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016B2168"/>
    <w:multiLevelType w:val="hybridMultilevel"/>
    <w:tmpl w:val="A7841A2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66B6F88"/>
    <w:multiLevelType w:val="hybridMultilevel"/>
    <w:tmpl w:val="225A3220"/>
    <w:lvl w:ilvl="0" w:tplc="08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F221C4"/>
    <w:multiLevelType w:val="hybridMultilevel"/>
    <w:tmpl w:val="3828C88A"/>
    <w:lvl w:ilvl="0" w:tplc="08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2D6899"/>
    <w:multiLevelType w:val="hybridMultilevel"/>
    <w:tmpl w:val="E05825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EC6751"/>
    <w:multiLevelType w:val="hybridMultilevel"/>
    <w:tmpl w:val="A65826F8"/>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3E39B8"/>
    <w:multiLevelType w:val="hybridMultilevel"/>
    <w:tmpl w:val="C10EA920"/>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15:restartNumberingAfterBreak="0">
    <w:nsid w:val="09BE7382"/>
    <w:multiLevelType w:val="hybridMultilevel"/>
    <w:tmpl w:val="2818AA50"/>
    <w:lvl w:ilvl="0" w:tplc="0809000F">
      <w:start w:val="1"/>
      <w:numFmt w:val="decimal"/>
      <w:lvlText w:val="%1."/>
      <w:lvlJc w:val="left"/>
      <w:pPr>
        <w:tabs>
          <w:tab w:val="num" w:pos="502"/>
        </w:tabs>
        <w:ind w:left="502" w:hanging="360"/>
      </w:pPr>
    </w:lvl>
    <w:lvl w:ilvl="1" w:tplc="08090019" w:tentative="1">
      <w:start w:val="1"/>
      <w:numFmt w:val="lowerLetter"/>
      <w:lvlText w:val="%2."/>
      <w:lvlJc w:val="left"/>
      <w:pPr>
        <w:tabs>
          <w:tab w:val="num" w:pos="1222"/>
        </w:tabs>
        <w:ind w:left="1222" w:hanging="360"/>
      </w:pPr>
    </w:lvl>
    <w:lvl w:ilvl="2" w:tplc="0809001B" w:tentative="1">
      <w:start w:val="1"/>
      <w:numFmt w:val="lowerRoman"/>
      <w:lvlText w:val="%3."/>
      <w:lvlJc w:val="right"/>
      <w:pPr>
        <w:tabs>
          <w:tab w:val="num" w:pos="1942"/>
        </w:tabs>
        <w:ind w:left="1942" w:hanging="180"/>
      </w:pPr>
    </w:lvl>
    <w:lvl w:ilvl="3" w:tplc="0809000F" w:tentative="1">
      <w:start w:val="1"/>
      <w:numFmt w:val="decimal"/>
      <w:lvlText w:val="%4."/>
      <w:lvlJc w:val="left"/>
      <w:pPr>
        <w:tabs>
          <w:tab w:val="num" w:pos="2662"/>
        </w:tabs>
        <w:ind w:left="2662" w:hanging="360"/>
      </w:pPr>
    </w:lvl>
    <w:lvl w:ilvl="4" w:tplc="08090019" w:tentative="1">
      <w:start w:val="1"/>
      <w:numFmt w:val="lowerLetter"/>
      <w:lvlText w:val="%5."/>
      <w:lvlJc w:val="left"/>
      <w:pPr>
        <w:tabs>
          <w:tab w:val="num" w:pos="3382"/>
        </w:tabs>
        <w:ind w:left="3382" w:hanging="360"/>
      </w:pPr>
    </w:lvl>
    <w:lvl w:ilvl="5" w:tplc="0809001B" w:tentative="1">
      <w:start w:val="1"/>
      <w:numFmt w:val="lowerRoman"/>
      <w:lvlText w:val="%6."/>
      <w:lvlJc w:val="right"/>
      <w:pPr>
        <w:tabs>
          <w:tab w:val="num" w:pos="4102"/>
        </w:tabs>
        <w:ind w:left="4102" w:hanging="180"/>
      </w:pPr>
    </w:lvl>
    <w:lvl w:ilvl="6" w:tplc="0809000F" w:tentative="1">
      <w:start w:val="1"/>
      <w:numFmt w:val="decimal"/>
      <w:lvlText w:val="%7."/>
      <w:lvlJc w:val="left"/>
      <w:pPr>
        <w:tabs>
          <w:tab w:val="num" w:pos="4822"/>
        </w:tabs>
        <w:ind w:left="4822" w:hanging="360"/>
      </w:pPr>
    </w:lvl>
    <w:lvl w:ilvl="7" w:tplc="08090019" w:tentative="1">
      <w:start w:val="1"/>
      <w:numFmt w:val="lowerLetter"/>
      <w:lvlText w:val="%8."/>
      <w:lvlJc w:val="left"/>
      <w:pPr>
        <w:tabs>
          <w:tab w:val="num" w:pos="5542"/>
        </w:tabs>
        <w:ind w:left="5542" w:hanging="360"/>
      </w:pPr>
    </w:lvl>
    <w:lvl w:ilvl="8" w:tplc="0809001B" w:tentative="1">
      <w:start w:val="1"/>
      <w:numFmt w:val="lowerRoman"/>
      <w:lvlText w:val="%9."/>
      <w:lvlJc w:val="right"/>
      <w:pPr>
        <w:tabs>
          <w:tab w:val="num" w:pos="6262"/>
        </w:tabs>
        <w:ind w:left="6262" w:hanging="180"/>
      </w:pPr>
    </w:lvl>
  </w:abstractNum>
  <w:abstractNum w:abstractNumId="8" w15:restartNumberingAfterBreak="0">
    <w:nsid w:val="0DB61E6A"/>
    <w:multiLevelType w:val="hybridMultilevel"/>
    <w:tmpl w:val="234C9DFA"/>
    <w:lvl w:ilvl="0" w:tplc="5BEA8E38">
      <w:start w:val="2"/>
      <w:numFmt w:val="decimal"/>
      <w:lvlText w:val="%1."/>
      <w:lvlJc w:val="left"/>
      <w:pPr>
        <w:tabs>
          <w:tab w:val="num" w:pos="1080"/>
        </w:tabs>
        <w:ind w:left="1080" w:hanging="720"/>
      </w:pPr>
      <w:rPr>
        <w:rFonts w:hint="default"/>
      </w:rPr>
    </w:lvl>
    <w:lvl w:ilvl="1" w:tplc="C7E09908">
      <w:numFmt w:val="bullet"/>
      <w:lvlText w:val="-"/>
      <w:lvlJc w:val="left"/>
      <w:pPr>
        <w:tabs>
          <w:tab w:val="num" w:pos="1440"/>
        </w:tabs>
        <w:ind w:left="1440" w:hanging="360"/>
      </w:pPr>
      <w:rPr>
        <w:rFonts w:ascii="Arial" w:eastAsia="Times New Roman" w:hAnsi="Arial" w:cs="Aria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0F40348C"/>
    <w:multiLevelType w:val="hybridMultilevel"/>
    <w:tmpl w:val="441C559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11E41DC8"/>
    <w:multiLevelType w:val="hybridMultilevel"/>
    <w:tmpl w:val="836E842A"/>
    <w:lvl w:ilvl="0" w:tplc="04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502"/>
        </w:tabs>
        <w:ind w:left="502" w:hanging="360"/>
      </w:pPr>
      <w:rPr>
        <w:rFonts w:hint="default"/>
      </w:rPr>
    </w:lvl>
    <w:lvl w:ilvl="2" w:tplc="0809000F">
      <w:start w:val="1"/>
      <w:numFmt w:val="decimal"/>
      <w:lvlText w:val="%3."/>
      <w:lvlJc w:val="left"/>
      <w:pPr>
        <w:tabs>
          <w:tab w:val="num" w:pos="502"/>
        </w:tabs>
        <w:ind w:left="502" w:hanging="360"/>
      </w:pPr>
      <w:rPr>
        <w:rFonts w:hint="default"/>
      </w:rPr>
    </w:lvl>
    <w:lvl w:ilvl="3" w:tplc="08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32C268D"/>
    <w:multiLevelType w:val="hybridMultilevel"/>
    <w:tmpl w:val="4D7AD97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13862F0A"/>
    <w:multiLevelType w:val="hybridMultilevel"/>
    <w:tmpl w:val="85A45784"/>
    <w:lvl w:ilvl="0" w:tplc="6F2096C2">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1B567B0B"/>
    <w:multiLevelType w:val="hybridMultilevel"/>
    <w:tmpl w:val="410CB85E"/>
    <w:lvl w:ilvl="0" w:tplc="08090001">
      <w:start w:val="1"/>
      <w:numFmt w:val="bullet"/>
      <w:pStyle w:val="Caption1"/>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1">
      <w:start w:val="1"/>
      <w:numFmt w:val="bullet"/>
      <w:lvlText w:val=""/>
      <w:lvlJc w:val="left"/>
      <w:pPr>
        <w:tabs>
          <w:tab w:val="num" w:pos="2340"/>
        </w:tabs>
        <w:ind w:left="2340" w:hanging="360"/>
      </w:pPr>
      <w:rPr>
        <w:rFonts w:ascii="Symbol" w:hAnsi="Symbol"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1B8907D6"/>
    <w:multiLevelType w:val="hybridMultilevel"/>
    <w:tmpl w:val="8654D23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22735A9F"/>
    <w:multiLevelType w:val="hybridMultilevel"/>
    <w:tmpl w:val="7952D976"/>
    <w:lvl w:ilvl="0" w:tplc="58D08A94">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0"/>
        </w:tabs>
        <w:ind w:left="0" w:hanging="360"/>
      </w:pPr>
      <w:rPr>
        <w:rFonts w:ascii="Courier New" w:hAnsi="Courier New" w:cs="Courier New" w:hint="default"/>
      </w:rPr>
    </w:lvl>
    <w:lvl w:ilvl="2" w:tplc="08090005" w:tentative="1">
      <w:start w:val="1"/>
      <w:numFmt w:val="bullet"/>
      <w:lvlText w:val=""/>
      <w:lvlJc w:val="left"/>
      <w:pPr>
        <w:tabs>
          <w:tab w:val="num" w:pos="720"/>
        </w:tabs>
        <w:ind w:left="720" w:hanging="360"/>
      </w:pPr>
      <w:rPr>
        <w:rFonts w:ascii="Wingdings" w:hAnsi="Wingdings" w:hint="default"/>
      </w:rPr>
    </w:lvl>
    <w:lvl w:ilvl="3" w:tplc="08090001" w:tentative="1">
      <w:start w:val="1"/>
      <w:numFmt w:val="bullet"/>
      <w:lvlText w:val=""/>
      <w:lvlJc w:val="left"/>
      <w:pPr>
        <w:tabs>
          <w:tab w:val="num" w:pos="1440"/>
        </w:tabs>
        <w:ind w:left="144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2880"/>
        </w:tabs>
        <w:ind w:left="2880" w:hanging="360"/>
      </w:pPr>
      <w:rPr>
        <w:rFonts w:ascii="Wingdings" w:hAnsi="Wingdings" w:hint="default"/>
      </w:rPr>
    </w:lvl>
    <w:lvl w:ilvl="6" w:tplc="08090001" w:tentative="1">
      <w:start w:val="1"/>
      <w:numFmt w:val="bullet"/>
      <w:lvlText w:val=""/>
      <w:lvlJc w:val="left"/>
      <w:pPr>
        <w:tabs>
          <w:tab w:val="num" w:pos="3600"/>
        </w:tabs>
        <w:ind w:left="3600" w:hanging="360"/>
      </w:pPr>
      <w:rPr>
        <w:rFonts w:ascii="Symbol" w:hAnsi="Symbol" w:hint="default"/>
      </w:rPr>
    </w:lvl>
    <w:lvl w:ilvl="7" w:tplc="08090003" w:tentative="1">
      <w:start w:val="1"/>
      <w:numFmt w:val="bullet"/>
      <w:lvlText w:val="o"/>
      <w:lvlJc w:val="left"/>
      <w:pPr>
        <w:tabs>
          <w:tab w:val="num" w:pos="4320"/>
        </w:tabs>
        <w:ind w:left="4320" w:hanging="360"/>
      </w:pPr>
      <w:rPr>
        <w:rFonts w:ascii="Courier New" w:hAnsi="Courier New" w:cs="Courier New" w:hint="default"/>
      </w:rPr>
    </w:lvl>
    <w:lvl w:ilvl="8" w:tplc="08090005" w:tentative="1">
      <w:start w:val="1"/>
      <w:numFmt w:val="bullet"/>
      <w:lvlText w:val=""/>
      <w:lvlJc w:val="left"/>
      <w:pPr>
        <w:tabs>
          <w:tab w:val="num" w:pos="5040"/>
        </w:tabs>
        <w:ind w:left="5040" w:hanging="360"/>
      </w:pPr>
      <w:rPr>
        <w:rFonts w:ascii="Wingdings" w:hAnsi="Wingdings" w:hint="default"/>
      </w:rPr>
    </w:lvl>
  </w:abstractNum>
  <w:abstractNum w:abstractNumId="16" w15:restartNumberingAfterBreak="0">
    <w:nsid w:val="23BF0E6E"/>
    <w:multiLevelType w:val="hybridMultilevel"/>
    <w:tmpl w:val="4464205E"/>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 w15:restartNumberingAfterBreak="0">
    <w:nsid w:val="26013A5B"/>
    <w:multiLevelType w:val="hybridMultilevel"/>
    <w:tmpl w:val="C7049940"/>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8" w15:restartNumberingAfterBreak="0">
    <w:nsid w:val="2DF559F8"/>
    <w:multiLevelType w:val="hybridMultilevel"/>
    <w:tmpl w:val="B5C828FE"/>
    <w:lvl w:ilvl="0" w:tplc="08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FE927F2"/>
    <w:multiLevelType w:val="hybridMultilevel"/>
    <w:tmpl w:val="5E46321C"/>
    <w:lvl w:ilvl="0" w:tplc="58D08A94">
      <w:start w:val="1"/>
      <w:numFmt w:val="bullet"/>
      <w:lvlText w:val=""/>
      <w:lvlJc w:val="left"/>
      <w:pPr>
        <w:tabs>
          <w:tab w:val="num" w:pos="360"/>
        </w:tabs>
        <w:ind w:left="360" w:hanging="360"/>
      </w:pPr>
      <w:rPr>
        <w:rFonts w:ascii="Symbol" w:hAnsi="Symbol" w:hint="default"/>
      </w:rPr>
    </w:lvl>
    <w:lvl w:ilvl="1" w:tplc="58D08A94">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58A1E4F"/>
    <w:multiLevelType w:val="hybridMultilevel"/>
    <w:tmpl w:val="DD4076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5BF2111"/>
    <w:multiLevelType w:val="hybridMultilevel"/>
    <w:tmpl w:val="37CE5AB0"/>
    <w:lvl w:ilvl="0" w:tplc="61C650F6">
      <w:start w:val="1"/>
      <w:numFmt w:val="lowerLetter"/>
      <w:lvlText w:val="%1."/>
      <w:lvlJc w:val="left"/>
      <w:pPr>
        <w:tabs>
          <w:tab w:val="num" w:pos="1080"/>
        </w:tabs>
        <w:ind w:left="108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3E271BBA"/>
    <w:multiLevelType w:val="hybridMultilevel"/>
    <w:tmpl w:val="36CEFB14"/>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42447DC4"/>
    <w:multiLevelType w:val="hybridMultilevel"/>
    <w:tmpl w:val="45983AFA"/>
    <w:lvl w:ilvl="0" w:tplc="0809000F">
      <w:start w:val="1"/>
      <w:numFmt w:val="decimal"/>
      <w:lvlText w:val="%1."/>
      <w:lvlJc w:val="left"/>
      <w:pPr>
        <w:tabs>
          <w:tab w:val="num" w:pos="502"/>
        </w:tabs>
        <w:ind w:left="502" w:hanging="360"/>
      </w:pPr>
    </w:lvl>
    <w:lvl w:ilvl="1" w:tplc="08090019" w:tentative="1">
      <w:start w:val="1"/>
      <w:numFmt w:val="lowerLetter"/>
      <w:lvlText w:val="%2."/>
      <w:lvlJc w:val="left"/>
      <w:pPr>
        <w:tabs>
          <w:tab w:val="num" w:pos="1222"/>
        </w:tabs>
        <w:ind w:left="1222" w:hanging="360"/>
      </w:pPr>
    </w:lvl>
    <w:lvl w:ilvl="2" w:tplc="0809001B" w:tentative="1">
      <w:start w:val="1"/>
      <w:numFmt w:val="lowerRoman"/>
      <w:lvlText w:val="%3."/>
      <w:lvlJc w:val="right"/>
      <w:pPr>
        <w:tabs>
          <w:tab w:val="num" w:pos="1942"/>
        </w:tabs>
        <w:ind w:left="1942" w:hanging="180"/>
      </w:pPr>
    </w:lvl>
    <w:lvl w:ilvl="3" w:tplc="0809000F" w:tentative="1">
      <w:start w:val="1"/>
      <w:numFmt w:val="decimal"/>
      <w:lvlText w:val="%4."/>
      <w:lvlJc w:val="left"/>
      <w:pPr>
        <w:tabs>
          <w:tab w:val="num" w:pos="2662"/>
        </w:tabs>
        <w:ind w:left="2662" w:hanging="360"/>
      </w:pPr>
    </w:lvl>
    <w:lvl w:ilvl="4" w:tplc="08090019" w:tentative="1">
      <w:start w:val="1"/>
      <w:numFmt w:val="lowerLetter"/>
      <w:lvlText w:val="%5."/>
      <w:lvlJc w:val="left"/>
      <w:pPr>
        <w:tabs>
          <w:tab w:val="num" w:pos="3382"/>
        </w:tabs>
        <w:ind w:left="3382" w:hanging="360"/>
      </w:pPr>
    </w:lvl>
    <w:lvl w:ilvl="5" w:tplc="0809001B" w:tentative="1">
      <w:start w:val="1"/>
      <w:numFmt w:val="lowerRoman"/>
      <w:lvlText w:val="%6."/>
      <w:lvlJc w:val="right"/>
      <w:pPr>
        <w:tabs>
          <w:tab w:val="num" w:pos="4102"/>
        </w:tabs>
        <w:ind w:left="4102" w:hanging="180"/>
      </w:pPr>
    </w:lvl>
    <w:lvl w:ilvl="6" w:tplc="0809000F" w:tentative="1">
      <w:start w:val="1"/>
      <w:numFmt w:val="decimal"/>
      <w:lvlText w:val="%7."/>
      <w:lvlJc w:val="left"/>
      <w:pPr>
        <w:tabs>
          <w:tab w:val="num" w:pos="4822"/>
        </w:tabs>
        <w:ind w:left="4822" w:hanging="360"/>
      </w:pPr>
    </w:lvl>
    <w:lvl w:ilvl="7" w:tplc="08090019" w:tentative="1">
      <w:start w:val="1"/>
      <w:numFmt w:val="lowerLetter"/>
      <w:lvlText w:val="%8."/>
      <w:lvlJc w:val="left"/>
      <w:pPr>
        <w:tabs>
          <w:tab w:val="num" w:pos="5542"/>
        </w:tabs>
        <w:ind w:left="5542" w:hanging="360"/>
      </w:pPr>
    </w:lvl>
    <w:lvl w:ilvl="8" w:tplc="0809001B" w:tentative="1">
      <w:start w:val="1"/>
      <w:numFmt w:val="lowerRoman"/>
      <w:lvlText w:val="%9."/>
      <w:lvlJc w:val="right"/>
      <w:pPr>
        <w:tabs>
          <w:tab w:val="num" w:pos="6262"/>
        </w:tabs>
        <w:ind w:left="6262" w:hanging="180"/>
      </w:pPr>
    </w:lvl>
  </w:abstractNum>
  <w:abstractNum w:abstractNumId="24" w15:restartNumberingAfterBreak="0">
    <w:nsid w:val="440B2A68"/>
    <w:multiLevelType w:val="hybridMultilevel"/>
    <w:tmpl w:val="3C74A166"/>
    <w:lvl w:ilvl="0" w:tplc="04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502"/>
        </w:tabs>
        <w:ind w:left="502"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A026364"/>
    <w:multiLevelType w:val="hybridMultilevel"/>
    <w:tmpl w:val="97C02CC0"/>
    <w:lvl w:ilvl="0" w:tplc="55F070EE">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4CAC369D"/>
    <w:multiLevelType w:val="hybridMultilevel"/>
    <w:tmpl w:val="626C4202"/>
    <w:lvl w:ilvl="0" w:tplc="04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502"/>
        </w:tabs>
        <w:ind w:left="502"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D157253"/>
    <w:multiLevelType w:val="hybridMultilevel"/>
    <w:tmpl w:val="4008F942"/>
    <w:lvl w:ilvl="0" w:tplc="04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502"/>
        </w:tabs>
        <w:ind w:left="502"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5EA42B1"/>
    <w:multiLevelType w:val="hybridMultilevel"/>
    <w:tmpl w:val="FA367F3A"/>
    <w:lvl w:ilvl="0" w:tplc="4EC44A1A">
      <w:start w:val="3"/>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56036A4A"/>
    <w:multiLevelType w:val="hybridMultilevel"/>
    <w:tmpl w:val="FF90FCD2"/>
    <w:lvl w:ilvl="0" w:tplc="08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91B389F"/>
    <w:multiLevelType w:val="hybridMultilevel"/>
    <w:tmpl w:val="D284CAEC"/>
    <w:lvl w:ilvl="0" w:tplc="0809000F">
      <w:start w:val="1"/>
      <w:numFmt w:val="decimal"/>
      <w:lvlText w:val="%1."/>
      <w:lvlJc w:val="left"/>
      <w:pPr>
        <w:tabs>
          <w:tab w:val="num" w:pos="502"/>
        </w:tabs>
        <w:ind w:left="502" w:hanging="360"/>
      </w:pPr>
    </w:lvl>
    <w:lvl w:ilvl="1" w:tplc="08090019" w:tentative="1">
      <w:start w:val="1"/>
      <w:numFmt w:val="lowerLetter"/>
      <w:lvlText w:val="%2."/>
      <w:lvlJc w:val="left"/>
      <w:pPr>
        <w:tabs>
          <w:tab w:val="num" w:pos="1222"/>
        </w:tabs>
        <w:ind w:left="1222" w:hanging="360"/>
      </w:pPr>
    </w:lvl>
    <w:lvl w:ilvl="2" w:tplc="0809001B" w:tentative="1">
      <w:start w:val="1"/>
      <w:numFmt w:val="lowerRoman"/>
      <w:lvlText w:val="%3."/>
      <w:lvlJc w:val="right"/>
      <w:pPr>
        <w:tabs>
          <w:tab w:val="num" w:pos="1942"/>
        </w:tabs>
        <w:ind w:left="1942" w:hanging="180"/>
      </w:pPr>
    </w:lvl>
    <w:lvl w:ilvl="3" w:tplc="0809000F" w:tentative="1">
      <w:start w:val="1"/>
      <w:numFmt w:val="decimal"/>
      <w:lvlText w:val="%4."/>
      <w:lvlJc w:val="left"/>
      <w:pPr>
        <w:tabs>
          <w:tab w:val="num" w:pos="2662"/>
        </w:tabs>
        <w:ind w:left="2662" w:hanging="360"/>
      </w:pPr>
    </w:lvl>
    <w:lvl w:ilvl="4" w:tplc="08090019" w:tentative="1">
      <w:start w:val="1"/>
      <w:numFmt w:val="lowerLetter"/>
      <w:lvlText w:val="%5."/>
      <w:lvlJc w:val="left"/>
      <w:pPr>
        <w:tabs>
          <w:tab w:val="num" w:pos="3382"/>
        </w:tabs>
        <w:ind w:left="3382" w:hanging="360"/>
      </w:pPr>
    </w:lvl>
    <w:lvl w:ilvl="5" w:tplc="0809001B" w:tentative="1">
      <w:start w:val="1"/>
      <w:numFmt w:val="lowerRoman"/>
      <w:lvlText w:val="%6."/>
      <w:lvlJc w:val="right"/>
      <w:pPr>
        <w:tabs>
          <w:tab w:val="num" w:pos="4102"/>
        </w:tabs>
        <w:ind w:left="4102" w:hanging="180"/>
      </w:pPr>
    </w:lvl>
    <w:lvl w:ilvl="6" w:tplc="0809000F" w:tentative="1">
      <w:start w:val="1"/>
      <w:numFmt w:val="decimal"/>
      <w:lvlText w:val="%7."/>
      <w:lvlJc w:val="left"/>
      <w:pPr>
        <w:tabs>
          <w:tab w:val="num" w:pos="4822"/>
        </w:tabs>
        <w:ind w:left="4822" w:hanging="360"/>
      </w:pPr>
    </w:lvl>
    <w:lvl w:ilvl="7" w:tplc="08090019" w:tentative="1">
      <w:start w:val="1"/>
      <w:numFmt w:val="lowerLetter"/>
      <w:lvlText w:val="%8."/>
      <w:lvlJc w:val="left"/>
      <w:pPr>
        <w:tabs>
          <w:tab w:val="num" w:pos="5542"/>
        </w:tabs>
        <w:ind w:left="5542" w:hanging="360"/>
      </w:pPr>
    </w:lvl>
    <w:lvl w:ilvl="8" w:tplc="0809001B" w:tentative="1">
      <w:start w:val="1"/>
      <w:numFmt w:val="lowerRoman"/>
      <w:lvlText w:val="%9."/>
      <w:lvlJc w:val="right"/>
      <w:pPr>
        <w:tabs>
          <w:tab w:val="num" w:pos="6262"/>
        </w:tabs>
        <w:ind w:left="6262" w:hanging="180"/>
      </w:pPr>
    </w:lvl>
  </w:abstractNum>
  <w:abstractNum w:abstractNumId="31" w15:restartNumberingAfterBreak="0">
    <w:nsid w:val="5BAE5EFF"/>
    <w:multiLevelType w:val="hybridMultilevel"/>
    <w:tmpl w:val="38F0D2F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2" w15:restartNumberingAfterBreak="0">
    <w:nsid w:val="61CA5FAD"/>
    <w:multiLevelType w:val="hybridMultilevel"/>
    <w:tmpl w:val="9774D47A"/>
    <w:lvl w:ilvl="0" w:tplc="0809000F">
      <w:start w:val="1"/>
      <w:numFmt w:val="decimal"/>
      <w:lvlText w:val="%1."/>
      <w:lvlJc w:val="left"/>
      <w:pPr>
        <w:tabs>
          <w:tab w:val="num" w:pos="502"/>
        </w:tabs>
        <w:ind w:left="502" w:hanging="360"/>
      </w:pPr>
    </w:lvl>
    <w:lvl w:ilvl="1" w:tplc="08090019" w:tentative="1">
      <w:start w:val="1"/>
      <w:numFmt w:val="lowerLetter"/>
      <w:lvlText w:val="%2."/>
      <w:lvlJc w:val="left"/>
      <w:pPr>
        <w:tabs>
          <w:tab w:val="num" w:pos="1222"/>
        </w:tabs>
        <w:ind w:left="1222" w:hanging="360"/>
      </w:pPr>
    </w:lvl>
    <w:lvl w:ilvl="2" w:tplc="0809001B" w:tentative="1">
      <w:start w:val="1"/>
      <w:numFmt w:val="lowerRoman"/>
      <w:lvlText w:val="%3."/>
      <w:lvlJc w:val="right"/>
      <w:pPr>
        <w:tabs>
          <w:tab w:val="num" w:pos="1942"/>
        </w:tabs>
        <w:ind w:left="1942" w:hanging="180"/>
      </w:pPr>
    </w:lvl>
    <w:lvl w:ilvl="3" w:tplc="0809000F" w:tentative="1">
      <w:start w:val="1"/>
      <w:numFmt w:val="decimal"/>
      <w:lvlText w:val="%4."/>
      <w:lvlJc w:val="left"/>
      <w:pPr>
        <w:tabs>
          <w:tab w:val="num" w:pos="2662"/>
        </w:tabs>
        <w:ind w:left="2662" w:hanging="360"/>
      </w:pPr>
    </w:lvl>
    <w:lvl w:ilvl="4" w:tplc="08090019" w:tentative="1">
      <w:start w:val="1"/>
      <w:numFmt w:val="lowerLetter"/>
      <w:lvlText w:val="%5."/>
      <w:lvlJc w:val="left"/>
      <w:pPr>
        <w:tabs>
          <w:tab w:val="num" w:pos="3382"/>
        </w:tabs>
        <w:ind w:left="3382" w:hanging="360"/>
      </w:pPr>
    </w:lvl>
    <w:lvl w:ilvl="5" w:tplc="0809001B" w:tentative="1">
      <w:start w:val="1"/>
      <w:numFmt w:val="lowerRoman"/>
      <w:lvlText w:val="%6."/>
      <w:lvlJc w:val="right"/>
      <w:pPr>
        <w:tabs>
          <w:tab w:val="num" w:pos="4102"/>
        </w:tabs>
        <w:ind w:left="4102" w:hanging="180"/>
      </w:pPr>
    </w:lvl>
    <w:lvl w:ilvl="6" w:tplc="0809000F" w:tentative="1">
      <w:start w:val="1"/>
      <w:numFmt w:val="decimal"/>
      <w:lvlText w:val="%7."/>
      <w:lvlJc w:val="left"/>
      <w:pPr>
        <w:tabs>
          <w:tab w:val="num" w:pos="4822"/>
        </w:tabs>
        <w:ind w:left="4822" w:hanging="360"/>
      </w:pPr>
    </w:lvl>
    <w:lvl w:ilvl="7" w:tplc="08090019" w:tentative="1">
      <w:start w:val="1"/>
      <w:numFmt w:val="lowerLetter"/>
      <w:lvlText w:val="%8."/>
      <w:lvlJc w:val="left"/>
      <w:pPr>
        <w:tabs>
          <w:tab w:val="num" w:pos="5542"/>
        </w:tabs>
        <w:ind w:left="5542" w:hanging="360"/>
      </w:pPr>
    </w:lvl>
    <w:lvl w:ilvl="8" w:tplc="0809001B" w:tentative="1">
      <w:start w:val="1"/>
      <w:numFmt w:val="lowerRoman"/>
      <w:lvlText w:val="%9."/>
      <w:lvlJc w:val="right"/>
      <w:pPr>
        <w:tabs>
          <w:tab w:val="num" w:pos="6262"/>
        </w:tabs>
        <w:ind w:left="6262" w:hanging="180"/>
      </w:pPr>
    </w:lvl>
  </w:abstractNum>
  <w:abstractNum w:abstractNumId="33" w15:restartNumberingAfterBreak="0">
    <w:nsid w:val="6DC56FC7"/>
    <w:multiLevelType w:val="hybridMultilevel"/>
    <w:tmpl w:val="17649BB8"/>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4" w15:restartNumberingAfterBreak="0">
    <w:nsid w:val="706F2D0D"/>
    <w:multiLevelType w:val="hybridMultilevel"/>
    <w:tmpl w:val="EA9019F4"/>
    <w:lvl w:ilvl="0" w:tplc="55F070EE">
      <w:start w:val="1"/>
      <w:numFmt w:val="lowerLetter"/>
      <w:lvlText w:val="%1."/>
      <w:lvlJc w:val="left"/>
      <w:pPr>
        <w:tabs>
          <w:tab w:val="num" w:pos="717"/>
        </w:tabs>
        <w:ind w:left="717" w:hanging="360"/>
      </w:pPr>
      <w:rPr>
        <w:rFonts w:hint="default"/>
      </w:rPr>
    </w:lvl>
    <w:lvl w:ilvl="1" w:tplc="08090019" w:tentative="1">
      <w:start w:val="1"/>
      <w:numFmt w:val="lowerLetter"/>
      <w:lvlText w:val="%2."/>
      <w:lvlJc w:val="left"/>
      <w:pPr>
        <w:tabs>
          <w:tab w:val="num" w:pos="1437"/>
        </w:tabs>
        <w:ind w:left="1437" w:hanging="360"/>
      </w:pPr>
    </w:lvl>
    <w:lvl w:ilvl="2" w:tplc="0809001B" w:tentative="1">
      <w:start w:val="1"/>
      <w:numFmt w:val="lowerRoman"/>
      <w:lvlText w:val="%3."/>
      <w:lvlJc w:val="right"/>
      <w:pPr>
        <w:tabs>
          <w:tab w:val="num" w:pos="2157"/>
        </w:tabs>
        <w:ind w:left="2157" w:hanging="180"/>
      </w:pPr>
    </w:lvl>
    <w:lvl w:ilvl="3" w:tplc="0809000F" w:tentative="1">
      <w:start w:val="1"/>
      <w:numFmt w:val="decimal"/>
      <w:lvlText w:val="%4."/>
      <w:lvlJc w:val="left"/>
      <w:pPr>
        <w:tabs>
          <w:tab w:val="num" w:pos="2877"/>
        </w:tabs>
        <w:ind w:left="2877" w:hanging="360"/>
      </w:pPr>
    </w:lvl>
    <w:lvl w:ilvl="4" w:tplc="08090019" w:tentative="1">
      <w:start w:val="1"/>
      <w:numFmt w:val="lowerLetter"/>
      <w:lvlText w:val="%5."/>
      <w:lvlJc w:val="left"/>
      <w:pPr>
        <w:tabs>
          <w:tab w:val="num" w:pos="3597"/>
        </w:tabs>
        <w:ind w:left="3597" w:hanging="360"/>
      </w:pPr>
    </w:lvl>
    <w:lvl w:ilvl="5" w:tplc="0809001B" w:tentative="1">
      <w:start w:val="1"/>
      <w:numFmt w:val="lowerRoman"/>
      <w:lvlText w:val="%6."/>
      <w:lvlJc w:val="right"/>
      <w:pPr>
        <w:tabs>
          <w:tab w:val="num" w:pos="4317"/>
        </w:tabs>
        <w:ind w:left="4317" w:hanging="180"/>
      </w:pPr>
    </w:lvl>
    <w:lvl w:ilvl="6" w:tplc="0809000F" w:tentative="1">
      <w:start w:val="1"/>
      <w:numFmt w:val="decimal"/>
      <w:lvlText w:val="%7."/>
      <w:lvlJc w:val="left"/>
      <w:pPr>
        <w:tabs>
          <w:tab w:val="num" w:pos="5037"/>
        </w:tabs>
        <w:ind w:left="5037" w:hanging="360"/>
      </w:pPr>
    </w:lvl>
    <w:lvl w:ilvl="7" w:tplc="08090019" w:tentative="1">
      <w:start w:val="1"/>
      <w:numFmt w:val="lowerLetter"/>
      <w:lvlText w:val="%8."/>
      <w:lvlJc w:val="left"/>
      <w:pPr>
        <w:tabs>
          <w:tab w:val="num" w:pos="5757"/>
        </w:tabs>
        <w:ind w:left="5757" w:hanging="360"/>
      </w:pPr>
    </w:lvl>
    <w:lvl w:ilvl="8" w:tplc="0809001B" w:tentative="1">
      <w:start w:val="1"/>
      <w:numFmt w:val="lowerRoman"/>
      <w:lvlText w:val="%9."/>
      <w:lvlJc w:val="right"/>
      <w:pPr>
        <w:tabs>
          <w:tab w:val="num" w:pos="6477"/>
        </w:tabs>
        <w:ind w:left="6477" w:hanging="180"/>
      </w:pPr>
    </w:lvl>
  </w:abstractNum>
  <w:abstractNum w:abstractNumId="35" w15:restartNumberingAfterBreak="0">
    <w:nsid w:val="722A0B58"/>
    <w:multiLevelType w:val="hybridMultilevel"/>
    <w:tmpl w:val="E7A8AEF2"/>
    <w:lvl w:ilvl="0" w:tplc="04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502"/>
        </w:tabs>
        <w:ind w:left="502"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3C1737C"/>
    <w:multiLevelType w:val="hybridMultilevel"/>
    <w:tmpl w:val="9E6E6B38"/>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5A9234C"/>
    <w:multiLevelType w:val="hybridMultilevel"/>
    <w:tmpl w:val="8640E666"/>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15:restartNumberingAfterBreak="0">
    <w:nsid w:val="76904F6F"/>
    <w:multiLevelType w:val="hybridMultilevel"/>
    <w:tmpl w:val="DE5065BA"/>
    <w:lvl w:ilvl="0" w:tplc="F45C2C48">
      <w:start w:val="3"/>
      <w:numFmt w:val="upperLetter"/>
      <w:lvlText w:val="%1."/>
      <w:lvlJc w:val="left"/>
      <w:pPr>
        <w:tabs>
          <w:tab w:val="num" w:pos="360"/>
        </w:tabs>
        <w:ind w:left="360" w:hanging="360"/>
      </w:pPr>
      <w:rPr>
        <w:rFonts w:hint="default"/>
      </w:rPr>
    </w:lvl>
    <w:lvl w:ilvl="1" w:tplc="0809000F">
      <w:start w:val="1"/>
      <w:numFmt w:val="decimal"/>
      <w:lvlText w:val="%2."/>
      <w:lvlJc w:val="left"/>
      <w:pPr>
        <w:tabs>
          <w:tab w:val="num" w:pos="1080"/>
        </w:tabs>
        <w:ind w:left="1080" w:hanging="360"/>
      </w:pPr>
      <w:rPr>
        <w:rFont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9" w15:restartNumberingAfterBreak="0">
    <w:nsid w:val="7C2746BD"/>
    <w:multiLevelType w:val="hybridMultilevel"/>
    <w:tmpl w:val="9C7A6C3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DD4714E"/>
    <w:multiLevelType w:val="hybridMultilevel"/>
    <w:tmpl w:val="943A01B4"/>
    <w:lvl w:ilvl="0" w:tplc="1F4AE47C">
      <w:start w:val="3"/>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0"/>
  </w:num>
  <w:num w:numId="2">
    <w:abstractNumId w:val="39"/>
  </w:num>
  <w:num w:numId="3">
    <w:abstractNumId w:val="13"/>
  </w:num>
  <w:num w:numId="4">
    <w:abstractNumId w:val="4"/>
  </w:num>
  <w:num w:numId="5">
    <w:abstractNumId w:val="37"/>
  </w:num>
  <w:num w:numId="6">
    <w:abstractNumId w:val="22"/>
  </w:num>
  <w:num w:numId="7">
    <w:abstractNumId w:val="21"/>
  </w:num>
  <w:num w:numId="8">
    <w:abstractNumId w:val="1"/>
  </w:num>
  <w:num w:numId="9">
    <w:abstractNumId w:val="28"/>
  </w:num>
  <w:num w:numId="10">
    <w:abstractNumId w:val="5"/>
  </w:num>
  <w:num w:numId="11">
    <w:abstractNumId w:val="19"/>
  </w:num>
  <w:num w:numId="12">
    <w:abstractNumId w:val="11"/>
  </w:num>
  <w:num w:numId="13">
    <w:abstractNumId w:val="12"/>
  </w:num>
  <w:num w:numId="14">
    <w:abstractNumId w:val="40"/>
  </w:num>
  <w:num w:numId="15">
    <w:abstractNumId w:val="38"/>
  </w:num>
  <w:num w:numId="16">
    <w:abstractNumId w:val="15"/>
  </w:num>
  <w:num w:numId="17">
    <w:abstractNumId w:val="25"/>
  </w:num>
  <w:num w:numId="18">
    <w:abstractNumId w:val="34"/>
  </w:num>
  <w:num w:numId="19">
    <w:abstractNumId w:val="8"/>
  </w:num>
  <w:num w:numId="20">
    <w:abstractNumId w:val="20"/>
  </w:num>
  <w:num w:numId="21">
    <w:abstractNumId w:val="10"/>
  </w:num>
  <w:num w:numId="22">
    <w:abstractNumId w:val="2"/>
  </w:num>
  <w:num w:numId="23">
    <w:abstractNumId w:val="18"/>
  </w:num>
  <w:num w:numId="24">
    <w:abstractNumId w:val="3"/>
  </w:num>
  <w:num w:numId="25">
    <w:abstractNumId w:val="35"/>
  </w:num>
  <w:num w:numId="26">
    <w:abstractNumId w:val="27"/>
  </w:num>
  <w:num w:numId="27">
    <w:abstractNumId w:val="24"/>
  </w:num>
  <w:num w:numId="28">
    <w:abstractNumId w:val="29"/>
  </w:num>
  <w:num w:numId="29">
    <w:abstractNumId w:val="9"/>
  </w:num>
  <w:num w:numId="30">
    <w:abstractNumId w:val="32"/>
  </w:num>
  <w:num w:numId="31">
    <w:abstractNumId w:val="26"/>
  </w:num>
  <w:num w:numId="32">
    <w:abstractNumId w:val="30"/>
  </w:num>
  <w:num w:numId="33">
    <w:abstractNumId w:val="7"/>
  </w:num>
  <w:num w:numId="34">
    <w:abstractNumId w:val="23"/>
  </w:num>
  <w:num w:numId="35">
    <w:abstractNumId w:val="14"/>
  </w:num>
  <w:num w:numId="36">
    <w:abstractNumId w:val="33"/>
  </w:num>
  <w:num w:numId="37">
    <w:abstractNumId w:val="16"/>
  </w:num>
  <w:num w:numId="38">
    <w:abstractNumId w:val="17"/>
  </w:num>
  <w:num w:numId="39">
    <w:abstractNumId w:val="6"/>
  </w:num>
  <w:num w:numId="40">
    <w:abstractNumId w:val="31"/>
  </w:num>
  <w:num w:numId="41">
    <w:abstractNumId w:val="3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drawingGridHorizontalSpacing w:val="9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8B0"/>
    <w:rsid w:val="00045911"/>
    <w:rsid w:val="0005718F"/>
    <w:rsid w:val="00073F44"/>
    <w:rsid w:val="00082341"/>
    <w:rsid w:val="0009449E"/>
    <w:rsid w:val="000A5232"/>
    <w:rsid w:val="000D01CA"/>
    <w:rsid w:val="000D50AA"/>
    <w:rsid w:val="000E3CB0"/>
    <w:rsid w:val="0010137F"/>
    <w:rsid w:val="001022F7"/>
    <w:rsid w:val="0010471C"/>
    <w:rsid w:val="00104AAA"/>
    <w:rsid w:val="0012133F"/>
    <w:rsid w:val="00124A92"/>
    <w:rsid w:val="00145562"/>
    <w:rsid w:val="00151830"/>
    <w:rsid w:val="00151CE9"/>
    <w:rsid w:val="001631EB"/>
    <w:rsid w:val="00165145"/>
    <w:rsid w:val="001671BA"/>
    <w:rsid w:val="00170D05"/>
    <w:rsid w:val="001755EB"/>
    <w:rsid w:val="001A2D79"/>
    <w:rsid w:val="001A53FC"/>
    <w:rsid w:val="001D5AAF"/>
    <w:rsid w:val="00243776"/>
    <w:rsid w:val="00244551"/>
    <w:rsid w:val="0026725E"/>
    <w:rsid w:val="002715B6"/>
    <w:rsid w:val="00271873"/>
    <w:rsid w:val="002938A7"/>
    <w:rsid w:val="002A2E9F"/>
    <w:rsid w:val="002B08D2"/>
    <w:rsid w:val="002B090D"/>
    <w:rsid w:val="002B6D18"/>
    <w:rsid w:val="002C307F"/>
    <w:rsid w:val="002E48EB"/>
    <w:rsid w:val="002F2D56"/>
    <w:rsid w:val="00307423"/>
    <w:rsid w:val="003121EB"/>
    <w:rsid w:val="003200D7"/>
    <w:rsid w:val="00332969"/>
    <w:rsid w:val="00335CD3"/>
    <w:rsid w:val="00336483"/>
    <w:rsid w:val="003430DE"/>
    <w:rsid w:val="00344452"/>
    <w:rsid w:val="0035774D"/>
    <w:rsid w:val="00364AF5"/>
    <w:rsid w:val="00367C8F"/>
    <w:rsid w:val="003720B8"/>
    <w:rsid w:val="0037328D"/>
    <w:rsid w:val="00375DD3"/>
    <w:rsid w:val="003A18C9"/>
    <w:rsid w:val="003B102F"/>
    <w:rsid w:val="003B3AE5"/>
    <w:rsid w:val="003C51B9"/>
    <w:rsid w:val="003F3744"/>
    <w:rsid w:val="003F75F8"/>
    <w:rsid w:val="00403F32"/>
    <w:rsid w:val="004045DF"/>
    <w:rsid w:val="004227F0"/>
    <w:rsid w:val="00422CB6"/>
    <w:rsid w:val="004328B2"/>
    <w:rsid w:val="0043564D"/>
    <w:rsid w:val="004473E4"/>
    <w:rsid w:val="00452C59"/>
    <w:rsid w:val="00474D29"/>
    <w:rsid w:val="00484646"/>
    <w:rsid w:val="00486242"/>
    <w:rsid w:val="00496444"/>
    <w:rsid w:val="004A2B22"/>
    <w:rsid w:val="004A545A"/>
    <w:rsid w:val="004B171C"/>
    <w:rsid w:val="004D5DA3"/>
    <w:rsid w:val="004F4868"/>
    <w:rsid w:val="004F63C4"/>
    <w:rsid w:val="0051155F"/>
    <w:rsid w:val="005138EF"/>
    <w:rsid w:val="00515314"/>
    <w:rsid w:val="00515ADB"/>
    <w:rsid w:val="0051691A"/>
    <w:rsid w:val="005226D2"/>
    <w:rsid w:val="0055025B"/>
    <w:rsid w:val="00561669"/>
    <w:rsid w:val="00570FA6"/>
    <w:rsid w:val="00573CE0"/>
    <w:rsid w:val="005751FB"/>
    <w:rsid w:val="00584874"/>
    <w:rsid w:val="005928D1"/>
    <w:rsid w:val="005A27A5"/>
    <w:rsid w:val="005B03EE"/>
    <w:rsid w:val="005B34A2"/>
    <w:rsid w:val="005B3DD4"/>
    <w:rsid w:val="005C2DA6"/>
    <w:rsid w:val="005C663D"/>
    <w:rsid w:val="005D658E"/>
    <w:rsid w:val="005E14DC"/>
    <w:rsid w:val="0061230F"/>
    <w:rsid w:val="00612B04"/>
    <w:rsid w:val="00613587"/>
    <w:rsid w:val="00613E7A"/>
    <w:rsid w:val="00614C9E"/>
    <w:rsid w:val="0061729F"/>
    <w:rsid w:val="00621127"/>
    <w:rsid w:val="0062469E"/>
    <w:rsid w:val="00642259"/>
    <w:rsid w:val="0065446B"/>
    <w:rsid w:val="00667DCB"/>
    <w:rsid w:val="00674404"/>
    <w:rsid w:val="0068393B"/>
    <w:rsid w:val="006B28B0"/>
    <w:rsid w:val="006B37B1"/>
    <w:rsid w:val="006B70D3"/>
    <w:rsid w:val="006C386A"/>
    <w:rsid w:val="006D022D"/>
    <w:rsid w:val="006E699C"/>
    <w:rsid w:val="006F4D0E"/>
    <w:rsid w:val="00711022"/>
    <w:rsid w:val="00721959"/>
    <w:rsid w:val="00725F36"/>
    <w:rsid w:val="00730443"/>
    <w:rsid w:val="00742865"/>
    <w:rsid w:val="007622FF"/>
    <w:rsid w:val="00763B1E"/>
    <w:rsid w:val="007744D7"/>
    <w:rsid w:val="00774E2C"/>
    <w:rsid w:val="00775D6F"/>
    <w:rsid w:val="00775F25"/>
    <w:rsid w:val="00780302"/>
    <w:rsid w:val="0078319D"/>
    <w:rsid w:val="007B21BA"/>
    <w:rsid w:val="007B6FAC"/>
    <w:rsid w:val="007E18A9"/>
    <w:rsid w:val="007E3EF0"/>
    <w:rsid w:val="008062E3"/>
    <w:rsid w:val="00807DF2"/>
    <w:rsid w:val="00817288"/>
    <w:rsid w:val="008253E8"/>
    <w:rsid w:val="00826572"/>
    <w:rsid w:val="0083419D"/>
    <w:rsid w:val="0083795B"/>
    <w:rsid w:val="008476CD"/>
    <w:rsid w:val="0085525E"/>
    <w:rsid w:val="008623C3"/>
    <w:rsid w:val="00863B80"/>
    <w:rsid w:val="00867B3B"/>
    <w:rsid w:val="008779D7"/>
    <w:rsid w:val="008815A3"/>
    <w:rsid w:val="00886222"/>
    <w:rsid w:val="008A7B09"/>
    <w:rsid w:val="008C3479"/>
    <w:rsid w:val="008C755B"/>
    <w:rsid w:val="008D0116"/>
    <w:rsid w:val="008E44BF"/>
    <w:rsid w:val="00910353"/>
    <w:rsid w:val="00933B8F"/>
    <w:rsid w:val="00940613"/>
    <w:rsid w:val="009A2A68"/>
    <w:rsid w:val="009B6567"/>
    <w:rsid w:val="009C69B3"/>
    <w:rsid w:val="009F4FD2"/>
    <w:rsid w:val="00A107EC"/>
    <w:rsid w:val="00A22175"/>
    <w:rsid w:val="00A42D68"/>
    <w:rsid w:val="00A44ED5"/>
    <w:rsid w:val="00A51A2B"/>
    <w:rsid w:val="00A56BEE"/>
    <w:rsid w:val="00A67F63"/>
    <w:rsid w:val="00A73908"/>
    <w:rsid w:val="00A81FEE"/>
    <w:rsid w:val="00A85532"/>
    <w:rsid w:val="00A9014B"/>
    <w:rsid w:val="00AA1314"/>
    <w:rsid w:val="00AA2156"/>
    <w:rsid w:val="00AA39C8"/>
    <w:rsid w:val="00AB2912"/>
    <w:rsid w:val="00AC1F5E"/>
    <w:rsid w:val="00AE0E3D"/>
    <w:rsid w:val="00AF0AA4"/>
    <w:rsid w:val="00B01EED"/>
    <w:rsid w:val="00B11173"/>
    <w:rsid w:val="00B21909"/>
    <w:rsid w:val="00B23F42"/>
    <w:rsid w:val="00B31CF8"/>
    <w:rsid w:val="00B46E96"/>
    <w:rsid w:val="00B6558E"/>
    <w:rsid w:val="00B75D03"/>
    <w:rsid w:val="00B86F42"/>
    <w:rsid w:val="00BA17E4"/>
    <w:rsid w:val="00BB4D45"/>
    <w:rsid w:val="00BB7613"/>
    <w:rsid w:val="00BC043D"/>
    <w:rsid w:val="00BC4D46"/>
    <w:rsid w:val="00BC7619"/>
    <w:rsid w:val="00BE50E0"/>
    <w:rsid w:val="00BF6924"/>
    <w:rsid w:val="00C03D0E"/>
    <w:rsid w:val="00C30C97"/>
    <w:rsid w:val="00C32F30"/>
    <w:rsid w:val="00C401A5"/>
    <w:rsid w:val="00C43C7A"/>
    <w:rsid w:val="00C447C0"/>
    <w:rsid w:val="00C53065"/>
    <w:rsid w:val="00C6097C"/>
    <w:rsid w:val="00C62596"/>
    <w:rsid w:val="00C752EA"/>
    <w:rsid w:val="00C9017C"/>
    <w:rsid w:val="00C92305"/>
    <w:rsid w:val="00C928BB"/>
    <w:rsid w:val="00CA46E5"/>
    <w:rsid w:val="00CA66BE"/>
    <w:rsid w:val="00CB138C"/>
    <w:rsid w:val="00CD23F5"/>
    <w:rsid w:val="00CE373C"/>
    <w:rsid w:val="00CE67A1"/>
    <w:rsid w:val="00CF6EFB"/>
    <w:rsid w:val="00D017C5"/>
    <w:rsid w:val="00D0276C"/>
    <w:rsid w:val="00D146E0"/>
    <w:rsid w:val="00D14D49"/>
    <w:rsid w:val="00D42481"/>
    <w:rsid w:val="00D80210"/>
    <w:rsid w:val="00D90E0F"/>
    <w:rsid w:val="00DB08AF"/>
    <w:rsid w:val="00DC34EA"/>
    <w:rsid w:val="00DE2053"/>
    <w:rsid w:val="00E130A9"/>
    <w:rsid w:val="00E17BC1"/>
    <w:rsid w:val="00E35507"/>
    <w:rsid w:val="00E40824"/>
    <w:rsid w:val="00E41562"/>
    <w:rsid w:val="00E53D59"/>
    <w:rsid w:val="00E65BE9"/>
    <w:rsid w:val="00E76596"/>
    <w:rsid w:val="00E812EE"/>
    <w:rsid w:val="00E967EE"/>
    <w:rsid w:val="00EB2C5F"/>
    <w:rsid w:val="00EB6D61"/>
    <w:rsid w:val="00ED4312"/>
    <w:rsid w:val="00ED4568"/>
    <w:rsid w:val="00EE2680"/>
    <w:rsid w:val="00EF74DC"/>
    <w:rsid w:val="00F00074"/>
    <w:rsid w:val="00F00758"/>
    <w:rsid w:val="00F039F9"/>
    <w:rsid w:val="00F0571E"/>
    <w:rsid w:val="00F107C6"/>
    <w:rsid w:val="00F12A30"/>
    <w:rsid w:val="00F31320"/>
    <w:rsid w:val="00F31F12"/>
    <w:rsid w:val="00F410A8"/>
    <w:rsid w:val="00F53F5B"/>
    <w:rsid w:val="00F76149"/>
    <w:rsid w:val="00F81C64"/>
    <w:rsid w:val="00F842AF"/>
    <w:rsid w:val="00F96BAE"/>
    <w:rsid w:val="00FA6C15"/>
    <w:rsid w:val="00FB43FC"/>
    <w:rsid w:val="00FC29B6"/>
    <w:rsid w:val="00FD510E"/>
    <w:rsid w:val="00FE137C"/>
    <w:rsid w:val="00FE20E1"/>
    <w:rsid w:val="00FE6D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9361FF"/>
  <w15:docId w15:val="{5DA3D480-C89F-4C3A-BB90-286687D6A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sz w:val="24"/>
      <w:szCs w:val="24"/>
    </w:rPr>
  </w:style>
  <w:style w:type="paragraph" w:styleId="Heading1">
    <w:name w:val="heading 1"/>
    <w:basedOn w:val="Normal"/>
    <w:next w:val="Normal"/>
    <w:qFormat/>
    <w:pPr>
      <w:keepNext/>
      <w:numPr>
        <w:numId w:val="1"/>
      </w:numPr>
      <w:suppressAutoHyphens/>
      <w:overflowPunct w:val="0"/>
      <w:autoSpaceDE w:val="0"/>
      <w:autoSpaceDN w:val="0"/>
      <w:adjustRightInd w:val="0"/>
      <w:spacing w:after="120"/>
      <w:jc w:val="center"/>
      <w:textAlignment w:val="baseline"/>
      <w:outlineLvl w:val="0"/>
    </w:pPr>
    <w:rPr>
      <w:b/>
      <w:sz w:val="28"/>
      <w:szCs w:val="20"/>
    </w:rPr>
  </w:style>
  <w:style w:type="paragraph" w:styleId="Heading2">
    <w:name w:val="heading 2"/>
    <w:basedOn w:val="Normal"/>
    <w:next w:val="Normal"/>
    <w:qFormat/>
    <w:pPr>
      <w:keepNext/>
      <w:numPr>
        <w:ilvl w:val="1"/>
        <w:numId w:val="1"/>
      </w:numPr>
      <w:suppressAutoHyphens/>
      <w:overflowPunct w:val="0"/>
      <w:autoSpaceDE w:val="0"/>
      <w:autoSpaceDN w:val="0"/>
      <w:adjustRightInd w:val="0"/>
      <w:spacing w:before="240" w:after="60" w:line="360" w:lineRule="auto"/>
      <w:textAlignment w:val="baseline"/>
      <w:outlineLvl w:val="1"/>
    </w:pPr>
    <w:rPr>
      <w:b/>
      <w:szCs w:val="20"/>
    </w:rPr>
  </w:style>
  <w:style w:type="paragraph" w:styleId="Heading3">
    <w:name w:val="heading 3"/>
    <w:basedOn w:val="Normal"/>
    <w:next w:val="Normal"/>
    <w:qFormat/>
    <w:pPr>
      <w:keepNext/>
      <w:numPr>
        <w:ilvl w:val="2"/>
        <w:numId w:val="1"/>
      </w:numPr>
      <w:suppressAutoHyphens/>
      <w:overflowPunct w:val="0"/>
      <w:autoSpaceDE w:val="0"/>
      <w:autoSpaceDN w:val="0"/>
      <w:adjustRightInd w:val="0"/>
      <w:spacing w:before="240" w:after="60" w:line="360" w:lineRule="auto"/>
      <w:textAlignment w:val="baseline"/>
      <w:outlineLvl w:val="2"/>
    </w:pPr>
    <w:rPr>
      <w:b/>
      <w:szCs w:val="20"/>
    </w:rPr>
  </w:style>
  <w:style w:type="paragraph" w:styleId="Heading4">
    <w:name w:val="heading 4"/>
    <w:basedOn w:val="Normal"/>
    <w:next w:val="Normal"/>
    <w:qFormat/>
    <w:pPr>
      <w:keepNext/>
      <w:numPr>
        <w:ilvl w:val="3"/>
        <w:numId w:val="1"/>
      </w:numPr>
      <w:suppressAutoHyphens/>
      <w:overflowPunct w:val="0"/>
      <w:autoSpaceDE w:val="0"/>
      <w:autoSpaceDN w:val="0"/>
      <w:adjustRightInd w:val="0"/>
      <w:spacing w:before="240" w:after="60" w:line="360" w:lineRule="auto"/>
      <w:textAlignment w:val="baseline"/>
      <w:outlineLvl w:val="3"/>
    </w:pPr>
    <w:rPr>
      <w:b/>
      <w:szCs w:val="20"/>
    </w:rPr>
  </w:style>
  <w:style w:type="paragraph" w:styleId="Heading5">
    <w:name w:val="heading 5"/>
    <w:basedOn w:val="Normal"/>
    <w:next w:val="Normal"/>
    <w:qFormat/>
    <w:pPr>
      <w:keepNext/>
      <w:numPr>
        <w:ilvl w:val="4"/>
        <w:numId w:val="1"/>
      </w:numPr>
      <w:suppressAutoHyphens/>
      <w:overflowPunct w:val="0"/>
      <w:autoSpaceDE w:val="0"/>
      <w:autoSpaceDN w:val="0"/>
      <w:adjustRightInd w:val="0"/>
      <w:spacing w:before="240" w:after="60" w:line="360" w:lineRule="auto"/>
      <w:textAlignment w:val="baseline"/>
      <w:outlineLvl w:val="4"/>
    </w:pPr>
    <w:rPr>
      <w:i/>
      <w:szCs w:val="20"/>
    </w:rPr>
  </w:style>
  <w:style w:type="paragraph" w:styleId="Heading6">
    <w:name w:val="heading 6"/>
    <w:basedOn w:val="Normal"/>
    <w:next w:val="Normal"/>
    <w:qFormat/>
    <w:pPr>
      <w:keepNext/>
      <w:numPr>
        <w:ilvl w:val="5"/>
        <w:numId w:val="1"/>
      </w:numPr>
      <w:suppressAutoHyphens/>
      <w:overflowPunct w:val="0"/>
      <w:autoSpaceDE w:val="0"/>
      <w:autoSpaceDN w:val="0"/>
      <w:adjustRightInd w:val="0"/>
      <w:spacing w:before="240" w:after="60" w:line="360" w:lineRule="auto"/>
      <w:textAlignment w:val="baseline"/>
      <w:outlineLvl w:val="5"/>
    </w:pPr>
    <w:rPr>
      <w:rFonts w:ascii="Arial" w:hAnsi="Arial"/>
      <w:i/>
      <w:sz w:val="22"/>
      <w:szCs w:val="20"/>
    </w:rPr>
  </w:style>
  <w:style w:type="paragraph" w:styleId="Heading7">
    <w:name w:val="heading 7"/>
    <w:basedOn w:val="Normal"/>
    <w:next w:val="Normal"/>
    <w:qFormat/>
    <w:pPr>
      <w:keepNext/>
      <w:numPr>
        <w:ilvl w:val="6"/>
        <w:numId w:val="1"/>
      </w:numPr>
      <w:suppressAutoHyphens/>
      <w:overflowPunct w:val="0"/>
      <w:autoSpaceDE w:val="0"/>
      <w:autoSpaceDN w:val="0"/>
      <w:adjustRightInd w:val="0"/>
      <w:spacing w:before="240" w:after="60" w:line="360" w:lineRule="auto"/>
      <w:textAlignment w:val="baseline"/>
      <w:outlineLvl w:val="6"/>
    </w:pPr>
    <w:rPr>
      <w:rFonts w:ascii="Arial" w:hAnsi="Arial"/>
      <w:sz w:val="20"/>
      <w:szCs w:val="20"/>
    </w:rPr>
  </w:style>
  <w:style w:type="paragraph" w:styleId="Heading8">
    <w:name w:val="heading 8"/>
    <w:basedOn w:val="Normal"/>
    <w:next w:val="Normal"/>
    <w:qFormat/>
    <w:pPr>
      <w:keepNext/>
      <w:numPr>
        <w:ilvl w:val="7"/>
        <w:numId w:val="1"/>
      </w:numPr>
      <w:suppressAutoHyphens/>
      <w:overflowPunct w:val="0"/>
      <w:autoSpaceDE w:val="0"/>
      <w:autoSpaceDN w:val="0"/>
      <w:adjustRightInd w:val="0"/>
      <w:spacing w:before="240" w:after="60" w:line="360" w:lineRule="auto"/>
      <w:textAlignment w:val="baseline"/>
      <w:outlineLvl w:val="7"/>
    </w:pPr>
    <w:rPr>
      <w:rFonts w:ascii="Arial" w:hAnsi="Arial"/>
      <w:i/>
      <w:sz w:val="20"/>
      <w:szCs w:val="20"/>
    </w:rPr>
  </w:style>
  <w:style w:type="paragraph" w:styleId="Heading9">
    <w:name w:val="heading 9"/>
    <w:basedOn w:val="Normal"/>
    <w:next w:val="Normal"/>
    <w:qFormat/>
    <w:pPr>
      <w:keepNext/>
      <w:numPr>
        <w:ilvl w:val="8"/>
        <w:numId w:val="1"/>
      </w:numPr>
      <w:suppressAutoHyphens/>
      <w:overflowPunct w:val="0"/>
      <w:autoSpaceDE w:val="0"/>
      <w:autoSpaceDN w:val="0"/>
      <w:adjustRightInd w:val="0"/>
      <w:spacing w:before="240" w:after="60" w:line="360" w:lineRule="auto"/>
      <w:textAlignment w:val="baseline"/>
      <w:outlineLvl w:val="8"/>
    </w:pPr>
    <w:rPr>
      <w:rFonts w:ascii="Arial"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Next/>
      <w:suppressAutoHyphens/>
      <w:overflowPunct w:val="0"/>
      <w:autoSpaceDE w:val="0"/>
      <w:autoSpaceDN w:val="0"/>
      <w:adjustRightInd w:val="0"/>
      <w:spacing w:line="360" w:lineRule="auto"/>
      <w:textAlignment w:val="baseline"/>
    </w:pPr>
    <w:rPr>
      <w:szCs w:val="20"/>
    </w:rPr>
  </w:style>
  <w:style w:type="character" w:styleId="PageNumber">
    <w:name w:val="page number"/>
    <w:basedOn w:val="DefaultParagraphFont"/>
  </w:style>
  <w:style w:type="paragraph" w:styleId="Footer">
    <w:name w:val="footer"/>
    <w:basedOn w:val="Normal"/>
    <w:pPr>
      <w:keepNext/>
      <w:tabs>
        <w:tab w:val="center" w:pos="4320"/>
        <w:tab w:val="right" w:pos="8640"/>
      </w:tabs>
      <w:suppressAutoHyphens/>
      <w:overflowPunct w:val="0"/>
      <w:autoSpaceDE w:val="0"/>
      <w:autoSpaceDN w:val="0"/>
      <w:adjustRightInd w:val="0"/>
      <w:spacing w:line="360" w:lineRule="auto"/>
      <w:textAlignment w:val="baseline"/>
    </w:pPr>
    <w:rPr>
      <w:szCs w:val="20"/>
    </w:rPr>
  </w:style>
  <w:style w:type="paragraph" w:styleId="BodyTextIndent">
    <w:name w:val="Body Text Indent"/>
    <w:basedOn w:val="Normal"/>
    <w:pPr>
      <w:spacing w:line="360" w:lineRule="auto"/>
      <w:ind w:firstLine="720"/>
    </w:pPr>
  </w:style>
  <w:style w:type="paragraph" w:styleId="Header">
    <w:name w:val="header"/>
    <w:basedOn w:val="Normal"/>
    <w:rsid w:val="00F12A30"/>
    <w:pPr>
      <w:tabs>
        <w:tab w:val="center" w:pos="4320"/>
        <w:tab w:val="right" w:pos="8640"/>
      </w:tabs>
    </w:pPr>
  </w:style>
  <w:style w:type="paragraph" w:styleId="FootnoteText">
    <w:name w:val="footnote text"/>
    <w:basedOn w:val="Normal"/>
    <w:semiHidden/>
    <w:rsid w:val="005C2DA6"/>
    <w:rPr>
      <w:sz w:val="20"/>
      <w:szCs w:val="20"/>
    </w:rPr>
  </w:style>
  <w:style w:type="character" w:styleId="FootnoteReference">
    <w:name w:val="footnote reference"/>
    <w:basedOn w:val="DefaultParagraphFont"/>
    <w:semiHidden/>
    <w:rsid w:val="005C2DA6"/>
    <w:rPr>
      <w:vertAlign w:val="superscript"/>
    </w:rPr>
  </w:style>
  <w:style w:type="paragraph" w:styleId="BodyText">
    <w:name w:val="Body Text"/>
    <w:basedOn w:val="Normal"/>
    <w:rsid w:val="00721959"/>
    <w:pPr>
      <w:spacing w:after="120"/>
    </w:pPr>
  </w:style>
  <w:style w:type="paragraph" w:styleId="BodyText2">
    <w:name w:val="Body Text 2"/>
    <w:basedOn w:val="Normal"/>
    <w:rsid w:val="002715B6"/>
    <w:pPr>
      <w:spacing w:after="120" w:line="480" w:lineRule="auto"/>
    </w:pPr>
  </w:style>
  <w:style w:type="paragraph" w:styleId="BodyTextIndent3">
    <w:name w:val="Body Text Indent 3"/>
    <w:basedOn w:val="Normal"/>
    <w:rsid w:val="002715B6"/>
    <w:pPr>
      <w:spacing w:after="120"/>
      <w:ind w:left="360"/>
    </w:pPr>
    <w:rPr>
      <w:sz w:val="16"/>
      <w:szCs w:val="16"/>
    </w:rPr>
  </w:style>
  <w:style w:type="paragraph" w:styleId="Title">
    <w:name w:val="Title"/>
    <w:basedOn w:val="Normal"/>
    <w:qFormat/>
    <w:rsid w:val="002715B6"/>
    <w:pPr>
      <w:pBdr>
        <w:bottom w:val="single" w:sz="4" w:space="1" w:color="auto"/>
      </w:pBdr>
      <w:jc w:val="center"/>
    </w:pPr>
    <w:rPr>
      <w:rFonts w:ascii="Tahoma" w:hAnsi="Tahoma"/>
      <w:b/>
      <w:sz w:val="26"/>
      <w:szCs w:val="20"/>
    </w:rPr>
  </w:style>
  <w:style w:type="character" w:styleId="Hyperlink">
    <w:name w:val="Hyperlink"/>
    <w:basedOn w:val="DefaultParagraphFont"/>
    <w:rsid w:val="002715B6"/>
    <w:rPr>
      <w:color w:val="0000FF"/>
      <w:u w:val="single"/>
    </w:rPr>
  </w:style>
  <w:style w:type="paragraph" w:styleId="BodyText3">
    <w:name w:val="Body Text 3"/>
    <w:basedOn w:val="Normal"/>
    <w:rsid w:val="002A2E9F"/>
    <w:pPr>
      <w:spacing w:after="120"/>
    </w:pPr>
    <w:rPr>
      <w:sz w:val="16"/>
      <w:szCs w:val="16"/>
    </w:rPr>
  </w:style>
  <w:style w:type="paragraph" w:styleId="ListParagraph">
    <w:name w:val="List Paragraph"/>
    <w:basedOn w:val="Normal"/>
    <w:link w:val="ListParagraphChar"/>
    <w:qFormat/>
    <w:rsid w:val="00730443"/>
    <w:pPr>
      <w:spacing w:after="200" w:line="276" w:lineRule="auto"/>
      <w:ind w:left="720"/>
      <w:contextualSpacing/>
      <w:jc w:val="left"/>
    </w:pPr>
    <w:rPr>
      <w:rFonts w:ascii="Calibri" w:eastAsia="Calibri" w:hAnsi="Calibri"/>
      <w:sz w:val="22"/>
      <w:szCs w:val="22"/>
    </w:rPr>
  </w:style>
  <w:style w:type="table" w:styleId="TableGrid">
    <w:name w:val="Table Grid"/>
    <w:basedOn w:val="TableNormal"/>
    <w:rsid w:val="00A56B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rsid w:val="00243776"/>
    <w:pPr>
      <w:spacing w:after="120" w:line="480" w:lineRule="auto"/>
      <w:ind w:left="360"/>
      <w:jc w:val="left"/>
    </w:pPr>
    <w:rPr>
      <w:lang w:val="en-GB"/>
    </w:rPr>
  </w:style>
  <w:style w:type="paragraph" w:customStyle="1" w:styleId="PaperTitle">
    <w:name w:val="Paper Title"/>
    <w:basedOn w:val="Normal"/>
    <w:rsid w:val="003720B8"/>
    <w:pPr>
      <w:spacing w:after="480"/>
      <w:jc w:val="center"/>
    </w:pPr>
    <w:rPr>
      <w:rFonts w:ascii="Arial" w:hAnsi="Arial"/>
      <w:b/>
      <w:sz w:val="28"/>
      <w:lang w:val="en-GB" w:eastAsia="en-GB"/>
    </w:rPr>
  </w:style>
  <w:style w:type="paragraph" w:customStyle="1" w:styleId="Authors">
    <w:name w:val="Author(s)"/>
    <w:basedOn w:val="Normal"/>
    <w:rsid w:val="003720B8"/>
    <w:pPr>
      <w:jc w:val="center"/>
    </w:pPr>
    <w:rPr>
      <w:rFonts w:ascii="Arial" w:hAnsi="Arial"/>
      <w:b/>
      <w:sz w:val="20"/>
      <w:lang w:val="en-GB" w:eastAsia="en-GB"/>
    </w:rPr>
  </w:style>
  <w:style w:type="paragraph" w:customStyle="1" w:styleId="AuthorsAffiliations">
    <w:name w:val="Author(s) Affiliation(s)"/>
    <w:basedOn w:val="Normal"/>
    <w:rsid w:val="003720B8"/>
    <w:pPr>
      <w:jc w:val="center"/>
    </w:pPr>
    <w:rPr>
      <w:rFonts w:ascii="Arial" w:hAnsi="Arial"/>
      <w:i/>
      <w:sz w:val="18"/>
      <w:lang w:val="en-GB" w:eastAsia="en-GB"/>
    </w:rPr>
  </w:style>
  <w:style w:type="paragraph" w:customStyle="1" w:styleId="Abstract">
    <w:name w:val="Abstract"/>
    <w:basedOn w:val="Normal"/>
    <w:rsid w:val="003720B8"/>
    <w:pPr>
      <w:ind w:left="567" w:right="567"/>
    </w:pPr>
    <w:rPr>
      <w:rFonts w:ascii="Arial" w:hAnsi="Arial"/>
      <w:sz w:val="18"/>
      <w:lang w:val="en-GB" w:eastAsia="en-GB"/>
    </w:rPr>
  </w:style>
  <w:style w:type="paragraph" w:customStyle="1" w:styleId="Keywords">
    <w:name w:val="Keywords"/>
    <w:basedOn w:val="Normal"/>
    <w:link w:val="KeywordsChar"/>
    <w:rsid w:val="003720B8"/>
    <w:pPr>
      <w:ind w:left="567" w:right="567"/>
    </w:pPr>
    <w:rPr>
      <w:rFonts w:ascii="Arial" w:hAnsi="Arial"/>
      <w:sz w:val="18"/>
      <w:lang w:val="en-GB" w:eastAsia="en-GB"/>
    </w:rPr>
  </w:style>
  <w:style w:type="character" w:customStyle="1" w:styleId="KeywordsChar">
    <w:name w:val="Keywords Char"/>
    <w:basedOn w:val="DefaultParagraphFont"/>
    <w:link w:val="Keywords"/>
    <w:rsid w:val="003720B8"/>
    <w:rPr>
      <w:rFonts w:ascii="Arial" w:hAnsi="Arial"/>
      <w:sz w:val="18"/>
      <w:szCs w:val="24"/>
      <w:lang w:val="en-GB" w:eastAsia="en-GB" w:bidi="ar-SA"/>
    </w:rPr>
  </w:style>
  <w:style w:type="paragraph" w:customStyle="1" w:styleId="AbstractTitle">
    <w:name w:val="Abstract Title"/>
    <w:basedOn w:val="Abstract"/>
    <w:rsid w:val="003720B8"/>
    <w:pPr>
      <w:jc w:val="center"/>
    </w:pPr>
    <w:rPr>
      <w:b/>
      <w:szCs w:val="20"/>
    </w:rPr>
  </w:style>
  <w:style w:type="paragraph" w:customStyle="1" w:styleId="Normaltext">
    <w:name w:val="Normal text"/>
    <w:basedOn w:val="Normal"/>
    <w:rsid w:val="00403F32"/>
    <w:pPr>
      <w:tabs>
        <w:tab w:val="left" w:pos="0"/>
      </w:tabs>
      <w:ind w:firstLine="567"/>
    </w:pPr>
    <w:rPr>
      <w:lang w:val="en-GB" w:eastAsia="cs-CZ"/>
    </w:rPr>
  </w:style>
  <w:style w:type="paragraph" w:customStyle="1" w:styleId="Reference">
    <w:name w:val="Reference"/>
    <w:basedOn w:val="Normal"/>
    <w:rsid w:val="00403F32"/>
    <w:pPr>
      <w:widowControl w:val="0"/>
      <w:tabs>
        <w:tab w:val="left" w:pos="540"/>
      </w:tabs>
      <w:snapToGrid w:val="0"/>
      <w:ind w:left="225" w:hangingChars="225" w:hanging="225"/>
    </w:pPr>
    <w:rPr>
      <w:rFonts w:eastAsia="MS Mincho"/>
      <w:kern w:val="2"/>
      <w:sz w:val="20"/>
      <w:lang w:eastAsia="ja-JP"/>
    </w:rPr>
  </w:style>
  <w:style w:type="paragraph" w:customStyle="1" w:styleId="Normaltext-firstparagraph">
    <w:name w:val="Normal text-first paragraph"/>
    <w:basedOn w:val="Normal"/>
    <w:rsid w:val="00403F32"/>
    <w:pPr>
      <w:tabs>
        <w:tab w:val="left" w:pos="0"/>
      </w:tabs>
      <w:autoSpaceDE w:val="0"/>
      <w:autoSpaceDN w:val="0"/>
      <w:adjustRightInd w:val="0"/>
    </w:pPr>
    <w:rPr>
      <w:color w:val="000000"/>
      <w:lang w:val="en-GB" w:eastAsia="cs-CZ"/>
    </w:rPr>
  </w:style>
  <w:style w:type="paragraph" w:customStyle="1" w:styleId="Caption1">
    <w:name w:val="Caption (1)"/>
    <w:basedOn w:val="Heading1"/>
    <w:rsid w:val="00403F32"/>
    <w:pPr>
      <w:keepLines/>
      <w:numPr>
        <w:numId w:val="3"/>
      </w:numPr>
      <w:tabs>
        <w:tab w:val="left" w:pos="540"/>
      </w:tabs>
      <w:overflowPunct/>
      <w:autoSpaceDE/>
      <w:autoSpaceDN/>
      <w:adjustRightInd/>
      <w:spacing w:after="0"/>
      <w:ind w:left="540" w:hanging="540"/>
      <w:jc w:val="left"/>
      <w:textAlignment w:val="auto"/>
    </w:pPr>
    <w:rPr>
      <w:szCs w:val="28"/>
      <w:lang w:val="en-GB" w:eastAsia="cs-CZ"/>
    </w:rPr>
  </w:style>
  <w:style w:type="paragraph" w:customStyle="1" w:styleId="Aknowledgements-head">
    <w:name w:val="Aknowledgements-head"/>
    <w:basedOn w:val="Normal"/>
    <w:rsid w:val="00403F32"/>
    <w:pPr>
      <w:tabs>
        <w:tab w:val="left" w:pos="0"/>
      </w:tabs>
    </w:pPr>
    <w:rPr>
      <w:b/>
      <w:sz w:val="26"/>
      <w:szCs w:val="26"/>
      <w:lang w:val="en-GB" w:eastAsia="cs-CZ"/>
    </w:rPr>
  </w:style>
  <w:style w:type="paragraph" w:customStyle="1" w:styleId="Aknowledgements-text">
    <w:name w:val="Aknowledgements-text"/>
    <w:basedOn w:val="Normal"/>
    <w:rsid w:val="00403F32"/>
    <w:pPr>
      <w:autoSpaceDE w:val="0"/>
      <w:autoSpaceDN w:val="0"/>
      <w:adjustRightInd w:val="0"/>
    </w:pPr>
    <w:rPr>
      <w:color w:val="000000"/>
      <w:lang w:val="en-GB" w:eastAsia="cs-CZ"/>
    </w:rPr>
  </w:style>
  <w:style w:type="paragraph" w:customStyle="1" w:styleId="References-head">
    <w:name w:val="References-head"/>
    <w:basedOn w:val="Heading6"/>
    <w:rsid w:val="00403F32"/>
    <w:pPr>
      <w:keepNext w:val="0"/>
      <w:numPr>
        <w:ilvl w:val="0"/>
        <w:numId w:val="0"/>
      </w:numPr>
      <w:tabs>
        <w:tab w:val="left" w:pos="0"/>
      </w:tabs>
      <w:suppressAutoHyphens w:val="0"/>
      <w:overflowPunct/>
      <w:autoSpaceDE/>
      <w:autoSpaceDN/>
      <w:adjustRightInd/>
      <w:spacing w:before="0" w:after="0" w:line="240" w:lineRule="auto"/>
      <w:jc w:val="left"/>
      <w:textAlignment w:val="auto"/>
    </w:pPr>
    <w:rPr>
      <w:rFonts w:ascii="Times New Roman" w:hAnsi="Times New Roman" w:cs="Tahoma"/>
      <w:b/>
      <w:i w:val="0"/>
      <w:sz w:val="26"/>
      <w:szCs w:val="26"/>
      <w:lang w:val="en-GB" w:eastAsia="cs-CZ"/>
    </w:rPr>
  </w:style>
  <w:style w:type="paragraph" w:styleId="BalloonText">
    <w:name w:val="Balloon Text"/>
    <w:basedOn w:val="Normal"/>
    <w:link w:val="BalloonTextChar"/>
    <w:rsid w:val="00F00758"/>
    <w:rPr>
      <w:rFonts w:ascii="Tahoma" w:hAnsi="Tahoma" w:cs="Tahoma"/>
      <w:sz w:val="16"/>
      <w:szCs w:val="16"/>
    </w:rPr>
  </w:style>
  <w:style w:type="character" w:customStyle="1" w:styleId="BalloonTextChar">
    <w:name w:val="Balloon Text Char"/>
    <w:basedOn w:val="DefaultParagraphFont"/>
    <w:link w:val="BalloonText"/>
    <w:rsid w:val="00F00758"/>
    <w:rPr>
      <w:rFonts w:ascii="Tahoma" w:hAnsi="Tahoma" w:cs="Tahoma"/>
      <w:sz w:val="16"/>
      <w:szCs w:val="16"/>
    </w:rPr>
  </w:style>
  <w:style w:type="character" w:styleId="SubtleReference">
    <w:name w:val="Subtle Reference"/>
    <w:basedOn w:val="DefaultParagraphFont"/>
    <w:uiPriority w:val="31"/>
    <w:qFormat/>
    <w:rsid w:val="00A107EC"/>
    <w:rPr>
      <w:smallCaps/>
      <w:color w:val="5A5A5A" w:themeColor="text1" w:themeTint="A5"/>
    </w:rPr>
  </w:style>
  <w:style w:type="character" w:customStyle="1" w:styleId="ListParagraphChar">
    <w:name w:val="List Paragraph Char"/>
    <w:link w:val="ListParagraph"/>
    <w:rsid w:val="002B08D2"/>
    <w:rPr>
      <w:rFonts w:ascii="Calibri" w:eastAsia="Calibri" w:hAnsi="Calibri"/>
      <w:sz w:val="22"/>
      <w:szCs w:val="22"/>
    </w:rPr>
  </w:style>
  <w:style w:type="paragraph" w:styleId="NormalWeb">
    <w:name w:val="Normal (Web)"/>
    <w:basedOn w:val="Normal"/>
    <w:uiPriority w:val="99"/>
    <w:semiHidden/>
    <w:unhideWhenUsed/>
    <w:rsid w:val="00F410A8"/>
    <w:pPr>
      <w:spacing w:before="100" w:beforeAutospacing="1" w:after="100" w:afterAutospacing="1"/>
      <w:jc w:val="left"/>
    </w:pPr>
    <w:rPr>
      <w:rFonts w:eastAsiaTheme="minorEastAsia"/>
    </w:rPr>
  </w:style>
  <w:style w:type="character" w:styleId="Emphasis">
    <w:name w:val="Emphasis"/>
    <w:basedOn w:val="DefaultParagraphFont"/>
    <w:qFormat/>
    <w:rsid w:val="004A2B22"/>
    <w:rPr>
      <w:i/>
      <w:iCs/>
    </w:rPr>
  </w:style>
  <w:style w:type="character" w:customStyle="1" w:styleId="tlid-translation">
    <w:name w:val="tlid-translation"/>
    <w:basedOn w:val="DefaultParagraphFont"/>
    <w:rsid w:val="00E53D59"/>
  </w:style>
  <w:style w:type="table" w:styleId="ListTable6Colorful">
    <w:name w:val="List Table 6 Colorful"/>
    <w:basedOn w:val="TableNormal"/>
    <w:uiPriority w:val="51"/>
    <w:rsid w:val="00B46E96"/>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Strong">
    <w:name w:val="Strong"/>
    <w:basedOn w:val="DefaultParagraphFont"/>
    <w:qFormat/>
    <w:rsid w:val="00817288"/>
    <w:rPr>
      <w:b/>
      <w:bCs/>
    </w:rPr>
  </w:style>
  <w:style w:type="paragraph" w:styleId="NoSpacing">
    <w:name w:val="No Spacing"/>
    <w:uiPriority w:val="1"/>
    <w:qFormat/>
    <w:rsid w:val="005B34A2"/>
    <w:pPr>
      <w:jc w:val="both"/>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470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4BACC1-E3DE-4A98-94AA-173F01FB4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706</TotalTime>
  <Pages>8</Pages>
  <Words>4700</Words>
  <Characters>26792</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Suatu kawasan kota hendaknya merupakan satu sistem yang terintegrasi</vt:lpstr>
    </vt:vector>
  </TitlesOfParts>
  <Company>JATINGALEH I/51 0822406623</Company>
  <LinksUpToDate>false</LinksUpToDate>
  <CharactersWithSpaces>31430</CharactersWithSpaces>
  <SharedDoc>false</SharedDoc>
  <HLinks>
    <vt:vector size="18" baseType="variant">
      <vt:variant>
        <vt:i4>5570654</vt:i4>
      </vt:variant>
      <vt:variant>
        <vt:i4>6</vt:i4>
      </vt:variant>
      <vt:variant>
        <vt:i4>0</vt:i4>
      </vt:variant>
      <vt:variant>
        <vt:i4>5</vt:i4>
      </vt:variant>
      <vt:variant>
        <vt:lpwstr>http://www.pitt.edu/~ethics/countries/Indonesia/culture.html</vt:lpwstr>
      </vt:variant>
      <vt:variant>
        <vt:lpwstr/>
      </vt:variant>
      <vt:variant>
        <vt:i4>1704054</vt:i4>
      </vt:variant>
      <vt:variant>
        <vt:i4>3</vt:i4>
      </vt:variant>
      <vt:variant>
        <vt:i4>0</vt:i4>
      </vt:variant>
      <vt:variant>
        <vt:i4>5</vt:i4>
      </vt:variant>
      <vt:variant>
        <vt:lpwstr>mailto:fauzan@uns.ac.id</vt:lpwstr>
      </vt:variant>
      <vt:variant>
        <vt:lpwstr/>
      </vt:variant>
      <vt:variant>
        <vt:i4>2490384</vt:i4>
      </vt:variant>
      <vt:variant>
        <vt:i4>0</vt:i4>
      </vt:variant>
      <vt:variant>
        <vt:i4>0</vt:i4>
      </vt:variant>
      <vt:variant>
        <vt:i4>5</vt:i4>
      </vt:variant>
      <vt:variant>
        <vt:lpwstr>mailto:fauzan92@yahoo.com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Suatu kawasan kota hendaknya merupakan satu sistem yang terintegrasi</dc:title>
  <dc:creator>SriYuliani</dc:creator>
  <cp:lastModifiedBy>lenovo</cp:lastModifiedBy>
  <cp:revision>5</cp:revision>
  <cp:lastPrinted>2008-07-21T17:36:00Z</cp:lastPrinted>
  <dcterms:created xsi:type="dcterms:W3CDTF">2021-10-19T04:14:00Z</dcterms:created>
  <dcterms:modified xsi:type="dcterms:W3CDTF">2021-10-20T23:38:00Z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e3423b0b-a323-3d57-9fd5-d1bb9e20ad5e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